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BE0B" w14:textId="364116FE" w:rsidR="003D2326" w:rsidRDefault="003D2326" w:rsidP="00C74868"/>
    <w:p w14:paraId="47D86BD6" w14:textId="77777777" w:rsidR="003D2326" w:rsidRDefault="00000000">
      <w:pPr>
        <w:spacing w:before="60"/>
        <w:jc w:val="center"/>
      </w:pPr>
      <w:r>
        <w:rPr>
          <w:rFonts w:ascii="Calibri Light" w:eastAsia="Calibri Light" w:hAnsi="Calibri Light" w:cs="Calibri Light"/>
          <w:b/>
          <w:bCs/>
          <w:color w:val="2E75B6"/>
          <w:sz w:val="26"/>
          <w:szCs w:val="26"/>
        </w:rPr>
        <w:t>Task Group (TG) — 2026 Meeting Schedule &amp; Agendas</w:t>
      </w:r>
    </w:p>
    <w:p w14:paraId="54ADC14A" w14:textId="77777777" w:rsidR="003D2326" w:rsidRDefault="00000000">
      <w:pPr>
        <w:spacing w:before="40"/>
        <w:jc w:val="center"/>
      </w:pPr>
      <w:r>
        <w:rPr>
          <w:rFonts w:ascii="Calibri Light" w:eastAsia="Calibri Light" w:hAnsi="Calibri Light" w:cs="Calibri Light"/>
          <w:i/>
          <w:iCs/>
          <w:color w:val="595959"/>
          <w:sz w:val="19"/>
          <w:szCs w:val="19"/>
        </w:rPr>
        <w:t>Chair: J. Ianelli  |  All meetings: Online (Zoom/Teams)  |  14:00–15:30 CET</w:t>
      </w:r>
    </w:p>
    <w:p w14:paraId="28DD17D7" w14:textId="1B37A54B" w:rsidR="003D2326" w:rsidRDefault="00000000">
      <w:pPr>
        <w:jc w:val="center"/>
      </w:pPr>
      <w:r>
        <w:rPr>
          <w:rFonts w:ascii="Calibri Light" w:eastAsia="Calibri Light" w:hAnsi="Calibri Light" w:cs="Calibri Light"/>
          <w:i/>
          <w:iCs/>
          <w:color w:val="595959"/>
          <w:sz w:val="19"/>
          <w:szCs w:val="19"/>
        </w:rPr>
        <w:t>0</w:t>
      </w:r>
      <w:r w:rsidR="006B6416">
        <w:rPr>
          <w:rFonts w:ascii="Calibri Light" w:eastAsia="Calibri Light" w:hAnsi="Calibri Light" w:cs="Calibri Light"/>
          <w:i/>
          <w:iCs/>
          <w:color w:val="595959"/>
          <w:sz w:val="19"/>
          <w:szCs w:val="19"/>
        </w:rPr>
        <w:t>8</w:t>
      </w:r>
      <w:r>
        <w:rPr>
          <w:rFonts w:ascii="Calibri Light" w:eastAsia="Calibri Light" w:hAnsi="Calibri Light" w:cs="Calibri Light"/>
          <w:i/>
          <w:iCs/>
          <w:color w:val="595959"/>
          <w:sz w:val="19"/>
          <w:szCs w:val="19"/>
        </w:rPr>
        <w:t>:00–</w:t>
      </w:r>
      <w:r w:rsidR="006B6416">
        <w:rPr>
          <w:rFonts w:ascii="Calibri Light" w:eastAsia="Calibri Light" w:hAnsi="Calibri Light" w:cs="Calibri Light"/>
          <w:i/>
          <w:iCs/>
          <w:color w:val="595959"/>
          <w:sz w:val="19"/>
          <w:szCs w:val="19"/>
        </w:rPr>
        <w:t>9</w:t>
      </w:r>
      <w:r>
        <w:rPr>
          <w:rFonts w:ascii="Calibri Light" w:eastAsia="Calibri Light" w:hAnsi="Calibri Light" w:cs="Calibri Light"/>
          <w:i/>
          <w:iCs/>
          <w:color w:val="595959"/>
          <w:sz w:val="19"/>
          <w:szCs w:val="19"/>
        </w:rPr>
        <w:t xml:space="preserve">:30 Lima (PET) </w:t>
      </w:r>
      <w:r w:rsidR="006B6416">
        <w:rPr>
          <w:rFonts w:ascii="Calibri Light" w:eastAsia="Calibri Light" w:hAnsi="Calibri Light" w:cs="Calibri Light"/>
          <w:i/>
          <w:iCs/>
          <w:color w:val="595959"/>
          <w:sz w:val="19"/>
          <w:szCs w:val="19"/>
        </w:rPr>
        <w:t>09:00-10:30</w:t>
      </w:r>
      <w:r>
        <w:rPr>
          <w:rFonts w:ascii="Calibri Light" w:eastAsia="Calibri Light" w:hAnsi="Calibri Light" w:cs="Calibri Light"/>
          <w:i/>
          <w:iCs/>
          <w:color w:val="595959"/>
          <w:sz w:val="19"/>
          <w:szCs w:val="19"/>
        </w:rPr>
        <w:t xml:space="preserve"> Santiago (CLT)</w:t>
      </w:r>
    </w:p>
    <w:p w14:paraId="44E8526B" w14:textId="77777777" w:rsidR="003D2326" w:rsidRDefault="003D2326">
      <w:pPr>
        <w:spacing w:before="80"/>
      </w:pPr>
    </w:p>
    <w:p w14:paraId="1FAEBF5F" w14:textId="77777777" w:rsidR="003D2326" w:rsidRDefault="003D2326">
      <w:pPr>
        <w:pBdr>
          <w:bottom w:val="single" w:sz="6" w:space="0" w:color="1F3864"/>
        </w:pBdr>
      </w:pPr>
    </w:p>
    <w:p w14:paraId="0DF05397" w14:textId="77777777" w:rsidR="003D2326" w:rsidRDefault="003D2326">
      <w:pPr>
        <w:spacing w:before="120"/>
      </w:pPr>
    </w:p>
    <w:p w14:paraId="57C3848C" w14:textId="77777777" w:rsidR="003D2326" w:rsidRDefault="00000000">
      <w:pPr>
        <w:spacing w:before="160" w:after="80"/>
      </w:pPr>
      <w:r>
        <w:rPr>
          <w:rFonts w:ascii="Calibri Light" w:eastAsia="Calibri Light" w:hAnsi="Calibri Light" w:cs="Calibri Light"/>
          <w:b/>
          <w:bCs/>
          <w:caps/>
          <w:color w:val="1F3864"/>
          <w:sz w:val="22"/>
          <w:szCs w:val="22"/>
        </w:rPr>
        <w:t>At-a-Glance 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"/>
        <w:gridCol w:w="1813"/>
        <w:gridCol w:w="3106"/>
        <w:gridCol w:w="4278"/>
      </w:tblGrid>
      <w:tr w:rsidR="00CE5CF6" w14:paraId="42B452D9" w14:textId="77777777" w:rsidTr="00CE5CF6">
        <w:trPr>
          <w:tblHeader/>
        </w:trPr>
        <w:tc>
          <w:tcPr>
            <w:tcW w:w="0" w:type="auto"/>
            <w:tcBorders>
              <w:top w:val="single" w:sz="3" w:space="0" w:color="1F3864"/>
              <w:left w:val="single" w:sz="3" w:space="0" w:color="1F3864"/>
              <w:bottom w:val="single" w:sz="3" w:space="0" w:color="1F3864"/>
              <w:right w:val="single" w:sz="3" w:space="0" w:color="1F3864"/>
            </w:tcBorders>
            <w:shd w:val="clear" w:color="auto" w:fill="1F3864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2C0CDA6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  <w:sz w:val="18"/>
                <w:szCs w:val="18"/>
              </w:rPr>
              <w:t>Meeting</w:t>
            </w:r>
          </w:p>
        </w:tc>
        <w:tc>
          <w:tcPr>
            <w:tcW w:w="0" w:type="auto"/>
            <w:tcBorders>
              <w:top w:val="single" w:sz="3" w:space="0" w:color="1F3864"/>
              <w:left w:val="single" w:sz="3" w:space="0" w:color="1F3864"/>
              <w:bottom w:val="single" w:sz="3" w:space="0" w:color="1F3864"/>
              <w:right w:val="single" w:sz="3" w:space="0" w:color="1F3864"/>
            </w:tcBorders>
            <w:shd w:val="clear" w:color="auto" w:fill="1F3864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99E042A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tcBorders>
              <w:top w:val="single" w:sz="3" w:space="0" w:color="1F3864"/>
              <w:left w:val="single" w:sz="3" w:space="0" w:color="1F3864"/>
              <w:bottom w:val="single" w:sz="3" w:space="0" w:color="1F3864"/>
              <w:right w:val="single" w:sz="3" w:space="0" w:color="1F3864"/>
            </w:tcBorders>
            <w:shd w:val="clear" w:color="auto" w:fill="1F3864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9F2C37C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  <w:sz w:val="18"/>
                <w:szCs w:val="18"/>
              </w:rPr>
              <w:t>Topic</w:t>
            </w:r>
          </w:p>
        </w:tc>
        <w:tc>
          <w:tcPr>
            <w:tcW w:w="0" w:type="auto"/>
            <w:tcBorders>
              <w:top w:val="single" w:sz="3" w:space="0" w:color="1F3864"/>
              <w:left w:val="single" w:sz="3" w:space="0" w:color="1F3864"/>
              <w:bottom w:val="single" w:sz="3" w:space="0" w:color="1F3864"/>
              <w:right w:val="single" w:sz="3" w:space="0" w:color="1F3864"/>
            </w:tcBorders>
            <w:shd w:val="clear" w:color="auto" w:fill="1F3864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1422C8F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  <w:sz w:val="18"/>
                <w:szCs w:val="18"/>
              </w:rPr>
              <w:t>Key Milestone</w:t>
            </w:r>
          </w:p>
        </w:tc>
      </w:tr>
      <w:tr w:rsidR="00CE5CF6" w14:paraId="79BEA604" w14:textId="77777777" w:rsidTr="00CE5CF6"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EEA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ADB3410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1F3864"/>
                <w:sz w:val="18"/>
                <w:szCs w:val="18"/>
              </w:rPr>
              <w:t>TG-01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6690C7F" w14:textId="4A1FD503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7"/>
                <w:szCs w:val="17"/>
              </w:rPr>
              <w:t>Thu 26 March 2026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F4F05C8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Post-Commission Kickoff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59D9735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1A7B6E"/>
                <w:sz w:val="17"/>
                <w:szCs w:val="17"/>
              </w:rPr>
              <w:t>—</w:t>
            </w:r>
          </w:p>
        </w:tc>
      </w:tr>
      <w:tr w:rsidR="00CE5CF6" w14:paraId="6C68D7CD" w14:textId="77777777" w:rsidTr="00CE5CF6"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EEA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1F3D886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1F3864"/>
                <w:sz w:val="18"/>
                <w:szCs w:val="18"/>
              </w:rPr>
              <w:t>TG-02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2C643E7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7"/>
                <w:szCs w:val="17"/>
              </w:rPr>
              <w:t>Thu 9 April 2026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07322D1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WP1 Launch &amp; Benchmark Preparation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C0B6685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1A7B6E"/>
                <w:sz w:val="17"/>
                <w:szCs w:val="17"/>
              </w:rPr>
              <w:t>→ Leads to: Benchmark Workshop, Lima (May)</w:t>
            </w:r>
          </w:p>
        </w:tc>
      </w:tr>
      <w:tr w:rsidR="00CE5CF6" w14:paraId="26A0F58D" w14:textId="77777777" w:rsidTr="00CE5CF6"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EEA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D2BCB5D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1F3864"/>
                <w:sz w:val="18"/>
                <w:szCs w:val="18"/>
              </w:rPr>
              <w:t>TG-03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42553DF" w14:textId="2DC2FEB5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7"/>
                <w:szCs w:val="17"/>
              </w:rPr>
              <w:t>Thu 30 April 2026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AE7BF78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Final Pre-Benchmark Preparation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7A957FB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1A7B6E"/>
                <w:sz w:val="17"/>
                <w:szCs w:val="17"/>
              </w:rPr>
              <w:t>→ Leads to: Benchmark Workshop, Lima (~12–16 May)</w:t>
            </w:r>
          </w:p>
        </w:tc>
      </w:tr>
      <w:tr w:rsidR="00CE5CF6" w14:paraId="42837023" w14:textId="77777777" w:rsidTr="00CE5CF6"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EEA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7F8F300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1F3864"/>
                <w:sz w:val="18"/>
                <w:szCs w:val="18"/>
              </w:rPr>
              <w:t>TG-04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48EF321" w14:textId="2C760AA2" w:rsidR="00CE5CF6" w:rsidRDefault="00D3574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7"/>
                <w:szCs w:val="17"/>
              </w:rPr>
              <w:t>Thu 28 May 2026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514BF60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Post-Lima / Pre-Intersessional Debrief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7FEBC1D" w14:textId="7751C255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1A7B6E"/>
                <w:sz w:val="17"/>
                <w:szCs w:val="17"/>
              </w:rPr>
              <w:t xml:space="preserve">→ </w:t>
            </w:r>
            <w:r w:rsidR="00D35746">
              <w:rPr>
                <w:rFonts w:ascii="Calibri Light" w:eastAsia="Calibri Light" w:hAnsi="Calibri Light" w:cs="Calibri Light"/>
                <w:color w:val="1A7B6E"/>
                <w:sz w:val="17"/>
                <w:szCs w:val="17"/>
              </w:rPr>
              <w:t xml:space="preserve">Leads to: </w:t>
            </w:r>
            <w:r w:rsidR="00D35746" w:rsidRPr="00D35746">
              <w:rPr>
                <w:rFonts w:ascii="Calibri Light" w:eastAsia="Calibri Light" w:hAnsi="Calibri Light" w:cs="Calibri Light"/>
                <w:color w:val="1A7B6E"/>
                <w:sz w:val="17"/>
                <w:szCs w:val="17"/>
              </w:rPr>
              <w:t>MSE-02 draft performance metrics</w:t>
            </w:r>
          </w:p>
        </w:tc>
      </w:tr>
      <w:tr w:rsidR="00CE5CF6" w14:paraId="4FD1C246" w14:textId="77777777" w:rsidTr="00CE5CF6"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EEA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771D31E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1F3864"/>
                <w:sz w:val="18"/>
                <w:szCs w:val="18"/>
              </w:rPr>
              <w:t>TG-05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4BD0F05" w14:textId="1010BC0E" w:rsidR="00CE5CF6" w:rsidRDefault="00D3574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7"/>
                <w:szCs w:val="17"/>
              </w:rPr>
              <w:t>Thu 11 June 2026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62742F6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Pre-Wageningen Final Preparation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B40CBA9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1A7B6E"/>
                <w:sz w:val="17"/>
                <w:szCs w:val="17"/>
              </w:rPr>
              <w:t>→ Leads to: MSE Workshop, Wageningen, 15–19 June 2026</w:t>
            </w:r>
          </w:p>
        </w:tc>
      </w:tr>
      <w:tr w:rsidR="00CE5CF6" w14:paraId="550B839C" w14:textId="77777777" w:rsidTr="00CE5CF6"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EEA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D16D3E4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1F3864"/>
                <w:sz w:val="18"/>
                <w:szCs w:val="18"/>
              </w:rPr>
              <w:t>TG-06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FCBB137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7"/>
                <w:szCs w:val="17"/>
              </w:rPr>
              <w:t>Thu 9 July 2026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66B310C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Post-Wageningen: CMP Shortlist Review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9455CF2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1A7B6E"/>
                <w:sz w:val="17"/>
                <w:szCs w:val="17"/>
              </w:rPr>
              <w:t>→ SC14 paper drafting begins</w:t>
            </w:r>
          </w:p>
        </w:tc>
      </w:tr>
      <w:tr w:rsidR="00CE5CF6" w14:paraId="4A7FBF6D" w14:textId="77777777" w:rsidTr="00CE5CF6"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EEA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5C4CD64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1F3864"/>
                <w:sz w:val="18"/>
                <w:szCs w:val="18"/>
              </w:rPr>
              <w:t>TG-07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A084760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7"/>
                <w:szCs w:val="17"/>
              </w:rPr>
              <w:t>Thu 13 August 2026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4477002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Pre-SC14 Draft Review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3A0CA5B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1A7B6E"/>
                <w:sz w:val="17"/>
                <w:szCs w:val="17"/>
              </w:rPr>
              <w:t>→ Leads to: SC14 (September 2026)</w:t>
            </w:r>
          </w:p>
        </w:tc>
      </w:tr>
      <w:tr w:rsidR="00CE5CF6" w14:paraId="7EDD6BD5" w14:textId="77777777" w:rsidTr="00CE5CF6"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EEA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1DFA58C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1F3864"/>
                <w:sz w:val="18"/>
                <w:szCs w:val="18"/>
              </w:rPr>
              <w:t>TG-08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BDEA362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7"/>
                <w:szCs w:val="17"/>
              </w:rPr>
              <w:t>Fri 28 August 2026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5467B7E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Final SC14 Paper Sign-off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BFC733A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1A7B6E"/>
                <w:sz w:val="17"/>
                <w:szCs w:val="17"/>
              </w:rPr>
              <w:t>→ SC14 submission deadline</w:t>
            </w:r>
          </w:p>
        </w:tc>
      </w:tr>
      <w:tr w:rsidR="00CE5CF6" w14:paraId="76160D70" w14:textId="77777777" w:rsidTr="00CE5CF6"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EEA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F7EBC93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1F3864"/>
                <w:sz w:val="18"/>
                <w:szCs w:val="18"/>
              </w:rPr>
              <w:t>TG-09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C14FFFD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7"/>
                <w:szCs w:val="17"/>
              </w:rPr>
              <w:t>Thu 8 October 2026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DFC0298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Post-SC14 Debrief &amp; Commission Prep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7FC5358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1A7B6E"/>
                <w:sz w:val="17"/>
                <w:szCs w:val="17"/>
              </w:rPr>
              <w:t>→ Leads to: Commission decision (Nov/Dec 2026)</w:t>
            </w:r>
          </w:p>
        </w:tc>
      </w:tr>
      <w:tr w:rsidR="00CE5CF6" w14:paraId="1CEEB38F" w14:textId="77777777" w:rsidTr="00CE5CF6"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DEEA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70E83EA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1F3864"/>
                <w:sz w:val="18"/>
                <w:szCs w:val="18"/>
              </w:rPr>
              <w:t>TG-10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2E77603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7"/>
                <w:szCs w:val="17"/>
              </w:rPr>
              <w:t>Thu 12 November 2026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6E85A88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WP4 Report Review &amp; Year-End Close</w:t>
            </w:r>
          </w:p>
        </w:tc>
        <w:tc>
          <w:tcPr>
            <w:tcW w:w="0" w:type="auto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AE5CCCD" w14:textId="77777777" w:rsidR="00CE5CF6" w:rsidRDefault="00CE5CF6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1A7B6E"/>
                <w:sz w:val="17"/>
                <w:szCs w:val="17"/>
              </w:rPr>
              <w:t>→ SC15 / archive</w:t>
            </w:r>
          </w:p>
        </w:tc>
      </w:tr>
    </w:tbl>
    <w:p w14:paraId="08DD6E09" w14:textId="77777777" w:rsidR="003D2326" w:rsidRDefault="00000000">
      <w:pPr>
        <w:spacing w:before="20"/>
      </w:pPr>
      <w:r>
        <w:rPr>
          <w:rFonts w:ascii="Calibri Light" w:eastAsia="Calibri Light" w:hAnsi="Calibri Light" w:cs="Calibri Light"/>
          <w:i/>
          <w:iCs/>
          <w:color w:val="888888"/>
          <w:sz w:val="18"/>
          <w:szCs w:val="18"/>
        </w:rPr>
        <w:t>Regular = 2nd Thursday of month.  Extra = milestone-driven additional call.</w:t>
      </w:r>
    </w:p>
    <w:p w14:paraId="31D3115C" w14:textId="77777777" w:rsidR="003D2326" w:rsidRDefault="003D2326">
      <w:pPr>
        <w:spacing w:before="200"/>
      </w:pPr>
    </w:p>
    <w:p w14:paraId="094DB1D8" w14:textId="77777777" w:rsidR="003D2326" w:rsidRDefault="00000000">
      <w:pPr>
        <w:spacing w:before="160" w:after="80"/>
      </w:pPr>
      <w:r>
        <w:rPr>
          <w:rFonts w:ascii="Calibri Light" w:eastAsia="Calibri Light" w:hAnsi="Calibri Light" w:cs="Calibri Light"/>
          <w:b/>
          <w:bCs/>
          <w:caps/>
          <w:color w:val="1F3864"/>
          <w:sz w:val="22"/>
          <w:szCs w:val="22"/>
        </w:rPr>
        <w:t>2026 Programme Milestones (for reference)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3200"/>
        <w:gridCol w:w="3100"/>
        <w:gridCol w:w="2264"/>
      </w:tblGrid>
      <w:tr w:rsidR="003D2326" w14:paraId="5DB2DB04" w14:textId="77777777">
        <w:trPr>
          <w:tblHeader/>
        </w:trPr>
        <w:tc>
          <w:tcPr>
            <w:tcW w:w="1500" w:type="dxa"/>
            <w:tcBorders>
              <w:top w:val="single" w:sz="3" w:space="0" w:color="1F3864"/>
              <w:left w:val="single" w:sz="3" w:space="0" w:color="1F3864"/>
              <w:bottom w:val="single" w:sz="3" w:space="0" w:color="1F3864"/>
              <w:right w:val="single" w:sz="3" w:space="0" w:color="1F3864"/>
            </w:tcBorders>
            <w:shd w:val="clear" w:color="auto" w:fill="1F3864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4AC6086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  <w:sz w:val="18"/>
                <w:szCs w:val="18"/>
              </w:rPr>
              <w:t>Month</w:t>
            </w:r>
          </w:p>
        </w:tc>
        <w:tc>
          <w:tcPr>
            <w:tcW w:w="3200" w:type="dxa"/>
            <w:tcBorders>
              <w:top w:val="single" w:sz="3" w:space="0" w:color="1F3864"/>
              <w:left w:val="single" w:sz="3" w:space="0" w:color="1F3864"/>
              <w:bottom w:val="single" w:sz="3" w:space="0" w:color="1F3864"/>
              <w:right w:val="single" w:sz="3" w:space="0" w:color="1F3864"/>
            </w:tcBorders>
            <w:shd w:val="clear" w:color="auto" w:fill="1F3864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3FF98DE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  <w:sz w:val="18"/>
                <w:szCs w:val="18"/>
              </w:rPr>
              <w:t>Event</w:t>
            </w:r>
          </w:p>
        </w:tc>
        <w:tc>
          <w:tcPr>
            <w:tcW w:w="3100" w:type="dxa"/>
            <w:tcBorders>
              <w:top w:val="single" w:sz="3" w:space="0" w:color="1F3864"/>
              <w:left w:val="single" w:sz="3" w:space="0" w:color="1F3864"/>
              <w:bottom w:val="single" w:sz="3" w:space="0" w:color="1F3864"/>
              <w:right w:val="single" w:sz="3" w:space="0" w:color="1F3864"/>
            </w:tcBorders>
            <w:shd w:val="clear" w:color="auto" w:fill="1F3864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F987295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  <w:sz w:val="18"/>
                <w:szCs w:val="18"/>
              </w:rPr>
              <w:t>Deliverable</w:t>
            </w:r>
          </w:p>
        </w:tc>
        <w:tc>
          <w:tcPr>
            <w:tcW w:w="2264" w:type="dxa"/>
            <w:tcBorders>
              <w:top w:val="single" w:sz="3" w:space="0" w:color="1F3864"/>
              <w:left w:val="single" w:sz="3" w:space="0" w:color="1F3864"/>
              <w:bottom w:val="single" w:sz="3" w:space="0" w:color="1F3864"/>
              <w:right w:val="single" w:sz="3" w:space="0" w:color="1F3864"/>
            </w:tcBorders>
            <w:shd w:val="clear" w:color="auto" w:fill="1F3864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670BA95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  <w:sz w:val="18"/>
                <w:szCs w:val="18"/>
              </w:rPr>
              <w:t>Output for</w:t>
            </w:r>
          </w:p>
        </w:tc>
      </w:tr>
      <w:tr w:rsidR="003D2326" w14:paraId="6B9906B1" w14:textId="77777777">
        <w:tc>
          <w:tcPr>
            <w:tcW w:w="15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8E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1891015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E9A023"/>
                <w:sz w:val="18"/>
                <w:szCs w:val="18"/>
              </w:rPr>
              <w:t>May 2026</w:t>
            </w:r>
          </w:p>
        </w:tc>
        <w:tc>
          <w:tcPr>
            <w:tcW w:w="32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23AB11F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Benchmark Workshop — Lima (Peru)</w:t>
            </w:r>
          </w:p>
        </w:tc>
        <w:tc>
          <w:tcPr>
            <w:tcW w:w="31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0A9D4A4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Candidate assessment models</w:t>
            </w:r>
          </w:p>
        </w:tc>
        <w:tc>
          <w:tcPr>
            <w:tcW w:w="2264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E4F8474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1A7B6E"/>
                <w:sz w:val="18"/>
                <w:szCs w:val="18"/>
              </w:rPr>
              <w:t>SC Intersessional</w:t>
            </w:r>
          </w:p>
        </w:tc>
      </w:tr>
      <w:tr w:rsidR="003D2326" w14:paraId="00360322" w14:textId="77777777">
        <w:tc>
          <w:tcPr>
            <w:tcW w:w="15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8E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8A2A91D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E9A023"/>
                <w:sz w:val="18"/>
                <w:szCs w:val="18"/>
              </w:rPr>
              <w:t>Late May 2026</w:t>
            </w:r>
          </w:p>
        </w:tc>
        <w:tc>
          <w:tcPr>
            <w:tcW w:w="32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33E9E45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SC Intersessional meeting</w:t>
            </w:r>
          </w:p>
        </w:tc>
        <w:tc>
          <w:tcPr>
            <w:tcW w:w="31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44A83A6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Approved OM for MSE</w:t>
            </w:r>
          </w:p>
        </w:tc>
        <w:tc>
          <w:tcPr>
            <w:tcW w:w="2264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9A95531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1A7B6E"/>
                <w:sz w:val="18"/>
                <w:szCs w:val="18"/>
              </w:rPr>
              <w:t>Wageningen workshop</w:t>
            </w:r>
          </w:p>
        </w:tc>
      </w:tr>
      <w:tr w:rsidR="003D2326" w14:paraId="3EB2F835" w14:textId="77777777">
        <w:tc>
          <w:tcPr>
            <w:tcW w:w="15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8E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322EA06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E9A023"/>
                <w:sz w:val="18"/>
                <w:szCs w:val="18"/>
              </w:rPr>
              <w:t>Jun 15–19</w:t>
            </w:r>
          </w:p>
        </w:tc>
        <w:tc>
          <w:tcPr>
            <w:tcW w:w="32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D78A446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MSE Workshop — Wageningen (WMR/NL)</w:t>
            </w:r>
          </w:p>
        </w:tc>
        <w:tc>
          <w:tcPr>
            <w:tcW w:w="31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842ED37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CMP shortlist</w:t>
            </w:r>
          </w:p>
        </w:tc>
        <w:tc>
          <w:tcPr>
            <w:tcW w:w="2264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A934460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1A7B6E"/>
                <w:sz w:val="18"/>
                <w:szCs w:val="18"/>
              </w:rPr>
              <w:t>SC14 document</w:t>
            </w:r>
          </w:p>
        </w:tc>
      </w:tr>
      <w:tr w:rsidR="003D2326" w14:paraId="1B689ED5" w14:textId="77777777">
        <w:tc>
          <w:tcPr>
            <w:tcW w:w="15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8E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2E8E138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E9A023"/>
                <w:sz w:val="18"/>
                <w:szCs w:val="18"/>
              </w:rPr>
              <w:t>Sep 2026</w:t>
            </w:r>
          </w:p>
        </w:tc>
        <w:tc>
          <w:tcPr>
            <w:tcW w:w="32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B15049F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SC14 — Scientific Committee</w:t>
            </w:r>
          </w:p>
        </w:tc>
        <w:tc>
          <w:tcPr>
            <w:tcW w:w="31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05F3B87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CMP recommendation</w:t>
            </w:r>
          </w:p>
        </w:tc>
        <w:tc>
          <w:tcPr>
            <w:tcW w:w="2264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07B75F3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1A7B6E"/>
                <w:sz w:val="18"/>
                <w:szCs w:val="18"/>
              </w:rPr>
              <w:t>Commission decision</w:t>
            </w:r>
          </w:p>
        </w:tc>
      </w:tr>
      <w:tr w:rsidR="003D2326" w14:paraId="7CA473A5" w14:textId="77777777">
        <w:tc>
          <w:tcPr>
            <w:tcW w:w="15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FF8E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7A203A9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b/>
                <w:bCs/>
                <w:color w:val="E9A023"/>
                <w:sz w:val="18"/>
                <w:szCs w:val="18"/>
              </w:rPr>
              <w:t>Nov 2026</w:t>
            </w:r>
          </w:p>
        </w:tc>
        <w:tc>
          <w:tcPr>
            <w:tcW w:w="32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D7324CD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WP4 final deliverable</w:t>
            </w:r>
          </w:p>
        </w:tc>
        <w:tc>
          <w:tcPr>
            <w:tcW w:w="3100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557A9BA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000000"/>
                <w:sz w:val="18"/>
                <w:szCs w:val="18"/>
              </w:rPr>
              <w:t>Technical report + source code</w:t>
            </w:r>
          </w:p>
        </w:tc>
        <w:tc>
          <w:tcPr>
            <w:tcW w:w="2264" w:type="dxa"/>
            <w:tcBorders>
              <w:top w:val="single" w:sz="3" w:space="0" w:color="BDD7EE"/>
              <w:left w:val="single" w:sz="3" w:space="0" w:color="BDD7EE"/>
              <w:bottom w:val="single" w:sz="3" w:space="0" w:color="BDD7EE"/>
              <w:right w:val="single" w:sz="3" w:space="0" w:color="BDD7EE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F16E6E4" w14:textId="77777777" w:rsidR="003D2326" w:rsidRDefault="00000000">
            <w:pPr>
              <w:spacing w:before="30" w:after="30"/>
            </w:pPr>
            <w:r>
              <w:rPr>
                <w:rFonts w:ascii="Calibri Light" w:eastAsia="Calibri Light" w:hAnsi="Calibri Light" w:cs="Calibri Light"/>
                <w:color w:val="1A7B6E"/>
                <w:sz w:val="18"/>
                <w:szCs w:val="18"/>
              </w:rPr>
              <w:t>SC15 / archive</w:t>
            </w:r>
          </w:p>
        </w:tc>
      </w:tr>
    </w:tbl>
    <w:p w14:paraId="4BF57155" w14:textId="77777777" w:rsidR="003D2326" w:rsidRDefault="003D2326">
      <w:pPr>
        <w:spacing w:before="240"/>
      </w:pPr>
    </w:p>
    <w:p w14:paraId="195ABFF6" w14:textId="77777777" w:rsidR="006B6416" w:rsidRDefault="006B6416">
      <w:pPr>
        <w:rPr>
          <w:rFonts w:ascii="Calibri Light" w:eastAsia="Calibri Light" w:hAnsi="Calibri Light" w:cs="Calibri Light"/>
          <w:b/>
          <w:bCs/>
          <w:caps/>
          <w:color w:val="1F3864"/>
          <w:sz w:val="22"/>
          <w:szCs w:val="22"/>
        </w:rPr>
      </w:pPr>
      <w:r>
        <w:rPr>
          <w:rFonts w:ascii="Calibri Light" w:eastAsia="Calibri Light" w:hAnsi="Calibri Light" w:cs="Calibri Light"/>
          <w:b/>
          <w:bCs/>
          <w:caps/>
          <w:color w:val="1F3864"/>
          <w:sz w:val="22"/>
          <w:szCs w:val="22"/>
        </w:rPr>
        <w:br w:type="page"/>
      </w:r>
    </w:p>
    <w:p w14:paraId="195CC1A4" w14:textId="77777777" w:rsidR="00CE5CF6" w:rsidRDefault="00CE5CF6" w:rsidP="00CE5CF6">
      <w:pPr>
        <w:spacing w:after="100"/>
      </w:pPr>
      <w:r>
        <w:rPr>
          <w:rFonts w:ascii="Calibri Light" w:eastAsia="Calibri Light" w:hAnsi="Calibri Light" w:cs="Calibri Light"/>
          <w:b/>
          <w:bCs/>
          <w:color w:val="1F3864"/>
          <w:sz w:val="26"/>
          <w:szCs w:val="26"/>
        </w:rPr>
        <w:lastRenderedPageBreak/>
        <w:t>SPRFMO Jack Mackerel MSE — Technical Group (TG) Session Agenda Plan 2026</w:t>
      </w:r>
    </w:p>
    <w:p w14:paraId="167D6A6D" w14:textId="77777777" w:rsidR="00CE5CF6" w:rsidRDefault="00CE5CF6" w:rsidP="00CE5CF6">
      <w:pPr>
        <w:spacing w:after="60"/>
      </w:pPr>
      <w:r>
        <w:rPr>
          <w:rFonts w:ascii="Calibri Light" w:eastAsia="Calibri Light" w:hAnsi="Calibri Light" w:cs="Calibri Light"/>
          <w:sz w:val="16"/>
          <w:szCs w:val="16"/>
        </w:rPr>
        <w:t>Five 2-hour TG sessions (March–June 2026) leading to the Lima Benchmark (early May) and the Wageningen MSE Workshop (16 June). Each session covers topics for discussion and decisions; where consensus cannot be reached, the decision is deferred one session. Based on Carruthers et al. (2024) MSE roadmap phases.</w:t>
      </w:r>
    </w:p>
    <w:p w14:paraId="646893C3" w14:textId="77777777" w:rsidR="00CE5CF6" w:rsidRDefault="00CE5CF6" w:rsidP="00CE5CF6">
      <w:pPr>
        <w:spacing w:after="80"/>
      </w:pPr>
      <w:proofErr w:type="spellStart"/>
      <w:r>
        <w:rPr>
          <w:rFonts w:ascii="Calibri Light" w:eastAsia="Calibri Light" w:hAnsi="Calibri Light" w:cs="Calibri Light"/>
          <w:b/>
          <w:bCs/>
          <w:sz w:val="16"/>
          <w:szCs w:val="16"/>
        </w:rPr>
        <w:t>Colour</w:t>
      </w:r>
      <w:proofErr w:type="spellEnd"/>
      <w:r>
        <w:rPr>
          <w:rFonts w:ascii="Calibri Light" w:eastAsia="Calibri Light" w:hAnsi="Calibri Light" w:cs="Calibri Light"/>
          <w:b/>
          <w:bCs/>
          <w:sz w:val="16"/>
          <w:szCs w:val="16"/>
        </w:rPr>
        <w:t xml:space="preserve"> legend:  </w:t>
      </w:r>
      <w:r>
        <w:rPr>
          <w:rFonts w:ascii="Calibri Light" w:eastAsia="Calibri Light" w:hAnsi="Calibri Light" w:cs="Calibri Light"/>
          <w:sz w:val="16"/>
          <w:szCs w:val="16"/>
        </w:rPr>
        <w:t xml:space="preserve">White = discussion topics    </w:t>
      </w:r>
      <w:r>
        <w:rPr>
          <w:rFonts w:ascii="Calibri Light" w:eastAsia="Calibri Light" w:hAnsi="Calibri Light" w:cs="Calibri Light"/>
          <w:color w:val="806000"/>
          <w:sz w:val="16"/>
          <w:szCs w:val="16"/>
        </w:rPr>
        <w:t xml:space="preserve">Yellow = items requiring decision    </w:t>
      </w:r>
      <w:r>
        <w:rPr>
          <w:rFonts w:ascii="Calibri Light" w:eastAsia="Calibri Light" w:hAnsi="Calibri Light" w:cs="Calibri Light"/>
          <w:color w:val="666666"/>
          <w:sz w:val="16"/>
          <w:szCs w:val="16"/>
        </w:rPr>
        <w:t xml:space="preserve">Grey = pre-meeting preparation    </w:t>
      </w:r>
      <w:r>
        <w:rPr>
          <w:rFonts w:ascii="Calibri Light" w:eastAsia="Calibri Light" w:hAnsi="Calibri Light" w:cs="Calibri Light"/>
          <w:color w:val="2E75B6"/>
          <w:sz w:val="16"/>
          <w:szCs w:val="16"/>
        </w:rPr>
        <w:t>Blue = linked working papers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"/>
        <w:gridCol w:w="572"/>
        <w:gridCol w:w="3302"/>
        <w:gridCol w:w="2736"/>
        <w:gridCol w:w="2511"/>
        <w:gridCol w:w="720"/>
      </w:tblGrid>
      <w:tr w:rsidR="00CE5CF6" w14:paraId="5F4F37EF" w14:textId="77777777" w:rsidTr="008148A2">
        <w:trPr>
          <w:tblHeader/>
        </w:trPr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vAlign w:val="center"/>
          </w:tcPr>
          <w:p w14:paraId="1AF99A93" w14:textId="77777777" w:rsidR="00CE5CF6" w:rsidRDefault="00CE5CF6" w:rsidP="008148A2">
            <w:pPr>
              <w:spacing w:line="200" w:lineRule="exact"/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  <w:sz w:val="18"/>
                <w:szCs w:val="18"/>
              </w:rPr>
              <w:t>TG</w:t>
            </w:r>
          </w:p>
        </w:tc>
        <w:tc>
          <w:tcPr>
            <w:tcW w:w="5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vAlign w:val="center"/>
          </w:tcPr>
          <w:p w14:paraId="74ABC11B" w14:textId="77777777" w:rsidR="00CE5CF6" w:rsidRDefault="00CE5CF6" w:rsidP="008148A2">
            <w:pPr>
              <w:spacing w:line="200" w:lineRule="exact"/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</w:tcPr>
          <w:p w14:paraId="7C1C227D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  <w:sz w:val="18"/>
                <w:szCs w:val="18"/>
              </w:rPr>
              <w:t>Main Topics for Discussion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</w:tcPr>
          <w:p w14:paraId="5E641503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  <w:sz w:val="18"/>
                <w:szCs w:val="18"/>
              </w:rPr>
              <w:t>Topics Requiring Decision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</w:tcPr>
          <w:p w14:paraId="4086FAD1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  <w:sz w:val="18"/>
                <w:szCs w:val="18"/>
              </w:rPr>
              <w:t>Pre-meeting Prep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</w:tcPr>
          <w:p w14:paraId="1550FEE4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  <w:sz w:val="18"/>
                <w:szCs w:val="18"/>
              </w:rPr>
              <w:t>WPs</w:t>
            </w:r>
          </w:p>
        </w:tc>
      </w:tr>
      <w:tr w:rsidR="00CE5CF6" w14:paraId="11080379" w14:textId="77777777" w:rsidTr="008148A2">
        <w:tc>
          <w:tcPr>
            <w:tcW w:w="0" w:type="auto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vAlign w:val="center"/>
          </w:tcPr>
          <w:p w14:paraId="7D21B41F" w14:textId="77777777" w:rsidR="00CE5CF6" w:rsidRDefault="00CE5CF6" w:rsidP="008148A2">
            <w:pPr>
              <w:spacing w:line="200" w:lineRule="exact"/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</w:rPr>
              <w:t>TG-</w:t>
            </w:r>
            <w:proofErr w:type="gramStart"/>
            <w:r>
              <w:rPr>
                <w:rFonts w:ascii="Calibri Light" w:eastAsia="Calibri Light" w:hAnsi="Calibri Light" w:cs="Calibri Light"/>
                <w:b/>
                <w:bCs/>
                <w:color w:val="FFFFFF"/>
              </w:rPr>
              <w:t>01</w:t>
            </w:r>
            <w:r>
              <w:rPr>
                <w:rFonts w:ascii="Calibri Light" w:eastAsia="Calibri Light" w:hAnsi="Calibri Light" w:cs="Calibri Light"/>
                <w:color w:val="FFFFFF"/>
              </w:rPr>
              <w:t xml:space="preserve">  —</w:t>
            </w:r>
            <w:proofErr w:type="gramEnd"/>
            <w:r>
              <w:rPr>
                <w:rFonts w:ascii="Calibri Light" w:eastAsia="Calibri Light" w:hAnsi="Calibri Light" w:cs="Calibri Light"/>
                <w:color w:val="FFFFFF"/>
              </w:rPr>
              <w:t xml:space="preserve">  26 Mar 2026 15:00 CET</w:t>
            </w:r>
          </w:p>
        </w:tc>
      </w:tr>
      <w:tr w:rsidR="00CE5CF6" w14:paraId="4DED11A4" w14:textId="77777777" w:rsidTr="008148A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B79F652" w14:textId="77777777" w:rsidR="00CE5CF6" w:rsidRDefault="00CE5CF6" w:rsidP="008148A2">
            <w:pPr>
              <w:spacing w:line="200" w:lineRule="exact"/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0EB9EEE" w14:textId="77777777" w:rsidR="00CE5CF6" w:rsidRDefault="00CE5CF6" w:rsidP="008148A2">
            <w:pPr>
              <w:spacing w:line="200" w:lineRule="exact"/>
              <w:jc w:val="center"/>
            </w:pPr>
            <w:r>
              <w:rPr>
                <w:rFonts w:ascii="Calibri Light" w:eastAsia="Calibri Light" w:hAnsi="Calibri Light" w:cs="Calibri Light"/>
                <w:sz w:val="15"/>
                <w:szCs w:val="15"/>
              </w:rPr>
              <w:t>26 Mar 2026 15:00 CET</w:t>
            </w:r>
          </w:p>
        </w:tc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A3CBC98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 w:rsidRPr="003A1441">
              <w:rPr>
                <w:rFonts w:ascii="Calibri Light" w:eastAsia="Calibri Light" w:hAnsi="Calibri Light" w:cs="Calibri Light"/>
                <w:sz w:val="16"/>
                <w:szCs w:val="16"/>
              </w:rPr>
              <w:t>Review &amp; endorse working paper plan (10 WPs: Benchmark, Wageningen, SC14)</w:t>
            </w:r>
          </w:p>
          <w:p w14:paraId="471BEC88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Sequence and allocation of technical topics across TG-02 to TG-05</w:t>
            </w:r>
          </w:p>
          <w:p w14:paraId="154E0B07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Identify which decisions need two sessions (</w:t>
            </w:r>
            <w:proofErr w:type="spellStart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prepare→conclude</w:t>
            </w:r>
            <w:proofErr w:type="spellEnd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E09DB6A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Endorse WP plan; confirm all lead authors (BM-03 needs volunteer)</w:t>
            </w:r>
          </w:p>
          <w:p w14:paraId="0B33637A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Agree topic schedule TG-02 through TG-05 — frames all subsequent work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D7BFD6F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i/>
                <w:iCs/>
                <w:sz w:val="15"/>
                <w:szCs w:val="15"/>
              </w:rPr>
              <w:t>Chair circulates: BM-01 draft, BM-02 draft, WP plan, Carruthers roadmap summary, proposed topic allocation. All ≥5 working days before.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8B67B6B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2E75B6"/>
                <w:sz w:val="15"/>
                <w:szCs w:val="15"/>
              </w:rPr>
              <w:t>BM-01</w:t>
            </w:r>
          </w:p>
          <w:p w14:paraId="7BA98784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2E75B6"/>
                <w:sz w:val="15"/>
                <w:szCs w:val="15"/>
              </w:rPr>
              <w:t>BM-02</w:t>
            </w:r>
          </w:p>
          <w:p w14:paraId="31C0D661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2E75B6"/>
                <w:sz w:val="15"/>
                <w:szCs w:val="15"/>
              </w:rPr>
              <w:t>Plan doc</w:t>
            </w:r>
          </w:p>
        </w:tc>
      </w:tr>
      <w:tr w:rsidR="00CE5CF6" w14:paraId="6BB21419" w14:textId="77777777" w:rsidTr="008148A2">
        <w:tc>
          <w:tcPr>
            <w:tcW w:w="0" w:type="auto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vAlign w:val="center"/>
          </w:tcPr>
          <w:p w14:paraId="1ACAA895" w14:textId="77777777" w:rsidR="00CE5CF6" w:rsidRDefault="00CE5CF6" w:rsidP="008148A2">
            <w:pPr>
              <w:spacing w:line="200" w:lineRule="exact"/>
              <w:ind w:left="291" w:hanging="189"/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</w:rPr>
              <w:t>TG-</w:t>
            </w:r>
            <w:proofErr w:type="gramStart"/>
            <w:r>
              <w:rPr>
                <w:rFonts w:ascii="Calibri Light" w:eastAsia="Calibri Light" w:hAnsi="Calibri Light" w:cs="Calibri Light"/>
                <w:b/>
                <w:bCs/>
                <w:color w:val="FFFFFF"/>
              </w:rPr>
              <w:t>02</w:t>
            </w:r>
            <w:r>
              <w:rPr>
                <w:rFonts w:ascii="Calibri Light" w:eastAsia="Calibri Light" w:hAnsi="Calibri Light" w:cs="Calibri Light"/>
                <w:color w:val="FFFFFF"/>
              </w:rPr>
              <w:t xml:space="preserve">  —</w:t>
            </w:r>
            <w:proofErr w:type="gramEnd"/>
            <w:r>
              <w:rPr>
                <w:rFonts w:ascii="Calibri Light" w:eastAsia="Calibri Light" w:hAnsi="Calibri Light" w:cs="Calibri Light"/>
                <w:color w:val="FFFFFF"/>
              </w:rPr>
              <w:t xml:space="preserve">  9 Apr 2026 15:00 CEST</w:t>
            </w:r>
          </w:p>
        </w:tc>
      </w:tr>
      <w:tr w:rsidR="00CE5CF6" w14:paraId="007510B2" w14:textId="77777777" w:rsidTr="008148A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29B9F739" w14:textId="77777777" w:rsidR="00CE5CF6" w:rsidRDefault="00CE5CF6" w:rsidP="008148A2">
            <w:pPr>
              <w:spacing w:line="200" w:lineRule="exact"/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5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E4E0E03" w14:textId="77777777" w:rsidR="00CE5CF6" w:rsidRDefault="00CE5CF6" w:rsidP="008148A2">
            <w:pPr>
              <w:spacing w:line="200" w:lineRule="exact"/>
              <w:jc w:val="center"/>
            </w:pPr>
            <w:r>
              <w:rPr>
                <w:rFonts w:ascii="Calibri Light" w:eastAsia="Calibri Light" w:hAnsi="Calibri Light" w:cs="Calibri Light"/>
                <w:sz w:val="15"/>
                <w:szCs w:val="15"/>
              </w:rPr>
              <w:t>9 Apr 2026 15:00 CEST</w:t>
            </w:r>
          </w:p>
        </w:tc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37C6DCA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Selectivity: block-based alternatives (BM-01 §6.1) vs time-varying; fleet implications</w:t>
            </w:r>
          </w:p>
          <w:p w14:paraId="078CE362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Reference points: fixed RPs vs dynamic BMSY/FMSY — pros, cons, RFMO precedent</w:t>
            </w:r>
          </w:p>
          <w:p w14:paraId="42FBE9F6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S-R alternatives: simplified options (single BH, regime variants) from BM-01 §6.2 — initial reaction</w:t>
            </w:r>
          </w:p>
          <w:p w14:paraId="554B6785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Indices (BM-03): inventory of all 7, CPUE </w:t>
            </w:r>
            <w:proofErr w:type="spellStart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standardisation</w:t>
            </w:r>
            <w:proofErr w:type="spellEnd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, index–biomass proportionality</w:t>
            </w:r>
          </w:p>
          <w:p w14:paraId="48CF3B66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Uncertainty dimensions most consequential for long-term projections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12688FA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Discuss selectivity block options — narrow to ≤2 candidates (conclude TG-03)</w:t>
            </w:r>
          </w:p>
          <w:p w14:paraId="4E61BF41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Discuss reference point approach — identify preferred direction (conclude TG-03)</w:t>
            </w:r>
          </w:p>
          <w:p w14:paraId="16F2F1B0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 xml:space="preserve">Confirm BM-03 lead and scope; agree index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standardisation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 xml:space="preserve"> methodology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12EB4F3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i/>
                <w:iCs/>
                <w:sz w:val="15"/>
                <w:szCs w:val="15"/>
              </w:rPr>
              <w:t>BM-01 §6.1–6.3 fitted diagnostics; BM-03 outline; updated topic schedule from TG-01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7E070BE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2E75B6"/>
                <w:sz w:val="15"/>
                <w:szCs w:val="15"/>
              </w:rPr>
              <w:t>BM-01</w:t>
            </w:r>
          </w:p>
          <w:p w14:paraId="78521824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2E75B6"/>
                <w:sz w:val="15"/>
                <w:szCs w:val="15"/>
              </w:rPr>
              <w:t>BM-03</w:t>
            </w:r>
          </w:p>
        </w:tc>
      </w:tr>
      <w:tr w:rsidR="00CE5CF6" w14:paraId="0AEC14A6" w14:textId="77777777" w:rsidTr="008148A2">
        <w:tc>
          <w:tcPr>
            <w:tcW w:w="0" w:type="auto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vAlign w:val="center"/>
          </w:tcPr>
          <w:p w14:paraId="260E3AA2" w14:textId="77777777" w:rsidR="00CE5CF6" w:rsidRDefault="00CE5CF6" w:rsidP="008148A2">
            <w:pPr>
              <w:spacing w:line="200" w:lineRule="exact"/>
              <w:ind w:left="291" w:hanging="189"/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</w:rPr>
              <w:t>TG-</w:t>
            </w:r>
            <w:proofErr w:type="gramStart"/>
            <w:r>
              <w:rPr>
                <w:rFonts w:ascii="Calibri Light" w:eastAsia="Calibri Light" w:hAnsi="Calibri Light" w:cs="Calibri Light"/>
                <w:b/>
                <w:bCs/>
                <w:color w:val="FFFFFF"/>
              </w:rPr>
              <w:t>03</w:t>
            </w:r>
            <w:r>
              <w:rPr>
                <w:rFonts w:ascii="Calibri Light" w:eastAsia="Calibri Light" w:hAnsi="Calibri Light" w:cs="Calibri Light"/>
                <w:color w:val="FFFFFF"/>
              </w:rPr>
              <w:t xml:space="preserve">  —</w:t>
            </w:r>
            <w:proofErr w:type="gramEnd"/>
            <w:r>
              <w:rPr>
                <w:rFonts w:ascii="Calibri Light" w:eastAsia="Calibri Light" w:hAnsi="Calibri Light" w:cs="Calibri Light"/>
                <w:color w:val="FFFFFF"/>
              </w:rPr>
              <w:t xml:space="preserve">  30 Apr 2026 15:00 CEST</w:t>
            </w:r>
          </w:p>
        </w:tc>
      </w:tr>
      <w:tr w:rsidR="00CE5CF6" w14:paraId="31FA2E54" w14:textId="77777777" w:rsidTr="008148A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DE0E156" w14:textId="77777777" w:rsidR="00CE5CF6" w:rsidRDefault="00CE5CF6" w:rsidP="008148A2">
            <w:pPr>
              <w:spacing w:line="200" w:lineRule="exact"/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5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73164D7" w14:textId="77777777" w:rsidR="00CE5CF6" w:rsidRDefault="00CE5CF6" w:rsidP="008148A2">
            <w:pPr>
              <w:spacing w:line="200" w:lineRule="exact"/>
              <w:jc w:val="center"/>
            </w:pPr>
            <w:r>
              <w:rPr>
                <w:rFonts w:ascii="Calibri Light" w:eastAsia="Calibri Light" w:hAnsi="Calibri Light" w:cs="Calibri Light"/>
                <w:sz w:val="15"/>
                <w:szCs w:val="15"/>
              </w:rPr>
              <w:t>30 Apr 2026 15:00 CEST</w:t>
            </w:r>
          </w:p>
        </w:tc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CF65DF8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CONCLUDE selectivity: agree block structure(s) for OM conditioning</w:t>
            </w:r>
          </w:p>
          <w:p w14:paraId="327FA466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CONCLUDE reference points: agree fixed benchmark RPs; document rationale</w:t>
            </w:r>
          </w:p>
          <w:p w14:paraId="65D2A476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Far North treatment (BM-01 §6.4): options for h1/h2 consistency</w:t>
            </w:r>
          </w:p>
          <w:p w14:paraId="5CFC20AD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OM grid design (BM-04): reference set vs robustness </w:t>
            </w:r>
            <w:proofErr w:type="gramStart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set;</w:t>
            </w:r>
            <w:proofErr w:type="gramEnd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 which uncertainty axes in each tier</w:t>
            </w:r>
          </w:p>
          <w:p w14:paraId="4F7E7692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Benchmark handoff: define minimum outputs needed for TG-04 to proceed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197A431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Agree selectivity block structure for OM (carried from TG-02)</w:t>
            </w:r>
          </w:p>
          <w:p w14:paraId="7182CDE1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Agree fixed reference point approach (carried from TG-02)</w:t>
            </w:r>
          </w:p>
          <w:p w14:paraId="42212806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 xml:space="preserve">Agree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harmonised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 xml:space="preserve"> Far North treatment for both stock hypotheses</w:t>
            </w:r>
          </w:p>
          <w:p w14:paraId="0D094E9E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Agree OM grid structure: axes, tiers (reference set vs robustness set)</w:t>
            </w:r>
          </w:p>
          <w:p w14:paraId="3919AE1C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Agree criteria for OM reconditioning decision at TG-04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939302E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i/>
                <w:iCs/>
                <w:sz w:val="15"/>
                <w:szCs w:val="15"/>
              </w:rPr>
              <w:t>BM-01 §6.4 draft; BM-03 first full draft; BM-04 outline with OM grid sketch; Chair circulates 'Benchmark handoff checklist'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1FA1D8B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2E75B6"/>
                <w:sz w:val="15"/>
                <w:szCs w:val="15"/>
              </w:rPr>
              <w:t>BM-01</w:t>
            </w:r>
          </w:p>
          <w:p w14:paraId="434C2640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2E75B6"/>
                <w:sz w:val="15"/>
                <w:szCs w:val="15"/>
              </w:rPr>
              <w:t>BM-03</w:t>
            </w:r>
          </w:p>
          <w:p w14:paraId="5B644D66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2E75B6"/>
                <w:sz w:val="15"/>
                <w:szCs w:val="15"/>
              </w:rPr>
              <w:t>BM-04</w:t>
            </w:r>
          </w:p>
        </w:tc>
      </w:tr>
      <w:tr w:rsidR="00CE5CF6" w14:paraId="7A5145C6" w14:textId="77777777" w:rsidTr="008148A2">
        <w:tc>
          <w:tcPr>
            <w:tcW w:w="0" w:type="auto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vAlign w:val="center"/>
          </w:tcPr>
          <w:p w14:paraId="65D0120C" w14:textId="77777777" w:rsidR="00CE5CF6" w:rsidRDefault="00CE5CF6" w:rsidP="008148A2">
            <w:pPr>
              <w:spacing w:line="200" w:lineRule="exact"/>
              <w:ind w:left="291" w:hanging="189"/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</w:rPr>
              <w:t>TG-</w:t>
            </w:r>
            <w:proofErr w:type="gramStart"/>
            <w:r>
              <w:rPr>
                <w:rFonts w:ascii="Calibri Light" w:eastAsia="Calibri Light" w:hAnsi="Calibri Light" w:cs="Calibri Light"/>
                <w:b/>
                <w:bCs/>
                <w:color w:val="FFFFFF"/>
              </w:rPr>
              <w:t>04</w:t>
            </w:r>
            <w:r>
              <w:rPr>
                <w:rFonts w:ascii="Calibri Light" w:eastAsia="Calibri Light" w:hAnsi="Calibri Light" w:cs="Calibri Light"/>
                <w:color w:val="FFFFFF"/>
              </w:rPr>
              <w:t xml:space="preserve">  —</w:t>
            </w:r>
            <w:proofErr w:type="gramEnd"/>
            <w:r>
              <w:rPr>
                <w:rFonts w:ascii="Calibri Light" w:eastAsia="Calibri Light" w:hAnsi="Calibri Light" w:cs="Calibri Light"/>
                <w:color w:val="FFFFFF"/>
              </w:rPr>
              <w:t xml:space="preserve">  28 May 2026 15:00 CEST</w:t>
            </w:r>
          </w:p>
        </w:tc>
      </w:tr>
      <w:tr w:rsidR="00CE5CF6" w14:paraId="193A163B" w14:textId="77777777" w:rsidTr="008148A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AEEC0F5" w14:textId="77777777" w:rsidR="00CE5CF6" w:rsidRDefault="00CE5CF6" w:rsidP="008148A2">
            <w:pPr>
              <w:spacing w:line="200" w:lineRule="exact"/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5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46D2C6D" w14:textId="77777777" w:rsidR="00CE5CF6" w:rsidRDefault="00CE5CF6" w:rsidP="008148A2">
            <w:pPr>
              <w:spacing w:line="200" w:lineRule="exact"/>
              <w:jc w:val="center"/>
            </w:pPr>
            <w:r>
              <w:rPr>
                <w:rFonts w:ascii="Calibri Light" w:eastAsia="Calibri Light" w:hAnsi="Calibri Light" w:cs="Calibri Light"/>
                <w:sz w:val="15"/>
                <w:szCs w:val="15"/>
              </w:rPr>
              <w:t>28 May 2026 15:00 CEST</w:t>
            </w:r>
          </w:p>
        </w:tc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B4E3EFD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Lima Benchmark </w:t>
            </w:r>
            <w:proofErr w:type="gramStart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debrief:</w:t>
            </w:r>
            <w:proofErr w:type="gramEnd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 model simplification, indices, OM design — what was agreed and what remains open</w:t>
            </w:r>
          </w:p>
          <w:p w14:paraId="03D3779C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CRITICAL FORK: Recondition on Benchmark OM outputs OR proceed with SC13-based OM</w:t>
            </w:r>
          </w:p>
          <w:p w14:paraId="62A04D59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Stock-hypothesis: using base case + robustness tests to derive advice; attempt consensus</w:t>
            </w:r>
          </w:p>
          <w:p w14:paraId="3AC43995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Performance metrics (MSE-02): conservation (P(B&lt;BLIM), P(B&lt;BMSY)), yield (avg catch, AAV), stability metrics</w:t>
            </w:r>
          </w:p>
          <w:p w14:paraId="14E1D256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MP families: candidate model-free (</w:t>
            </w:r>
            <w:proofErr w:type="spellStart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DLMtool</w:t>
            </w:r>
            <w:proofErr w:type="spellEnd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) and model-based (multi-index, surplus production)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64EF27A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CRITICAL: Recondition OM on Benchmark outputs OR proceed with SC13-based OM — gates Wageningen scope</w:t>
            </w:r>
          </w:p>
          <w:p w14:paraId="0DB905DE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 xml:space="preserve">Agree S-R priors (steepness,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σR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) and recruitment regime treatment across all OMs</w:t>
            </w:r>
          </w:p>
          <w:p w14:paraId="0E22DD6F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Discuss stock-hypothesis treatment for advice — to conclude at TG-05</w:t>
            </w:r>
          </w:p>
          <w:p w14:paraId="6A959F3F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 xml:space="preserve">Endorse draft performance metrics and time horizons (5/10/20+ yr) — to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finalise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 xml:space="preserve"> at TG-05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90B2F5F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i/>
                <w:iCs/>
                <w:sz w:val="15"/>
                <w:szCs w:val="15"/>
              </w:rPr>
              <w:t>Lima Benchmark summary circulated after meeting; BM MSE-02 draft performance metrics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D25102E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2E75B6"/>
                <w:sz w:val="15"/>
                <w:szCs w:val="15"/>
              </w:rPr>
              <w:t>BM-04</w:t>
            </w:r>
          </w:p>
          <w:p w14:paraId="61EA5ED2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2E75B6"/>
                <w:sz w:val="15"/>
                <w:szCs w:val="15"/>
              </w:rPr>
              <w:t>MSE-02</w:t>
            </w:r>
          </w:p>
          <w:p w14:paraId="77447B46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2E75B6"/>
                <w:sz w:val="15"/>
                <w:szCs w:val="15"/>
              </w:rPr>
              <w:t>BM-01 outcomes</w:t>
            </w:r>
          </w:p>
        </w:tc>
      </w:tr>
      <w:tr w:rsidR="00CE5CF6" w14:paraId="421584C3" w14:textId="77777777" w:rsidTr="008148A2">
        <w:tc>
          <w:tcPr>
            <w:tcW w:w="0" w:type="auto"/>
            <w:gridSpan w:val="6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vAlign w:val="center"/>
          </w:tcPr>
          <w:p w14:paraId="64739B31" w14:textId="77777777" w:rsidR="00CE5CF6" w:rsidRDefault="00CE5CF6" w:rsidP="008148A2">
            <w:pPr>
              <w:spacing w:line="200" w:lineRule="exact"/>
              <w:ind w:left="291" w:hanging="189"/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</w:rPr>
              <w:t>TG-</w:t>
            </w:r>
            <w:proofErr w:type="gramStart"/>
            <w:r>
              <w:rPr>
                <w:rFonts w:ascii="Calibri Light" w:eastAsia="Calibri Light" w:hAnsi="Calibri Light" w:cs="Calibri Light"/>
                <w:b/>
                <w:bCs/>
                <w:color w:val="FFFFFF"/>
              </w:rPr>
              <w:t>05</w:t>
            </w:r>
            <w:r>
              <w:rPr>
                <w:rFonts w:ascii="Calibri Light" w:eastAsia="Calibri Light" w:hAnsi="Calibri Light" w:cs="Calibri Light"/>
                <w:color w:val="FFFFFF"/>
              </w:rPr>
              <w:t xml:space="preserve">  —</w:t>
            </w:r>
            <w:proofErr w:type="gramEnd"/>
            <w:r>
              <w:rPr>
                <w:rFonts w:ascii="Calibri Light" w:eastAsia="Calibri Light" w:hAnsi="Calibri Light" w:cs="Calibri Light"/>
                <w:color w:val="FFFFFF"/>
              </w:rPr>
              <w:t xml:space="preserve">  11 Jun 2026 15:00 CEST</w:t>
            </w:r>
          </w:p>
        </w:tc>
      </w:tr>
      <w:tr w:rsidR="00CE5CF6" w14:paraId="3670FA41" w14:textId="77777777" w:rsidTr="008148A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E92FE23" w14:textId="77777777" w:rsidR="00CE5CF6" w:rsidRDefault="00CE5CF6" w:rsidP="008148A2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5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82C619F" w14:textId="77777777" w:rsidR="00CE5CF6" w:rsidRDefault="00CE5CF6" w:rsidP="008148A2">
            <w:pPr>
              <w:spacing w:line="200" w:lineRule="exact"/>
              <w:jc w:val="center"/>
            </w:pPr>
            <w:r>
              <w:rPr>
                <w:rFonts w:ascii="Calibri Light" w:eastAsia="Calibri Light" w:hAnsi="Calibri Light" w:cs="Calibri Light"/>
                <w:sz w:val="15"/>
                <w:szCs w:val="15"/>
              </w:rPr>
              <w:t>11 Jun 2026 15:00 CEST</w:t>
            </w:r>
          </w:p>
        </w:tc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9AA19F4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CONCLUDE stock-hypothesis: close from TG-04 (or confirm fallback)</w:t>
            </w:r>
          </w:p>
          <w:p w14:paraId="6DB295F5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CONCLUDE performance metrics: </w:t>
            </w:r>
            <w:proofErr w:type="spellStart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finalise</w:t>
            </w:r>
            <w:proofErr w:type="spellEnd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 metric list, time horizons, risk tolerance for Wageningen</w:t>
            </w:r>
          </w:p>
          <w:p w14:paraId="772FBC8E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MP specifications (MSE-01): technical freeze — data streams, tuning targets, HCR, Buffer/K60</w:t>
            </w:r>
          </w:p>
          <w:p w14:paraId="7D618AA5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Robustness scenario matrix: </w:t>
            </w:r>
            <w:proofErr w:type="spellStart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finalise</w:t>
            </w:r>
            <w:proofErr w:type="spellEnd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 all scenarios entering Wageningen (MSE-03)</w:t>
            </w:r>
          </w:p>
          <w:p w14:paraId="2210CDE9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Cross-platform validation: FLR vs RTMB/</w:t>
            </w:r>
            <w:proofErr w:type="spellStart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OpenMSE</w:t>
            </w:r>
            <w:proofErr w:type="spellEnd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 — metrics, responsibilities (WMR/CHL/PER), timeline</w:t>
            </w:r>
          </w:p>
          <w:p w14:paraId="79B821C2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141" w:hanging="141"/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Wageningen logistics: trade-off format (Slick, worm plots, Kobe-style); decision-making protocol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F3FF92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Conclude stock-hypothesis (from TG-04)</w:t>
            </w:r>
          </w:p>
          <w:p w14:paraId="56A053B0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proofErr w:type="spellStart"/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Finalise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 xml:space="preserve"> performance metrics list, time horizons and risk tolerance</w:t>
            </w:r>
          </w:p>
          <w:p w14:paraId="5FB763FF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Freeze MP specifications: no new MPs added after this TG</w:t>
            </w:r>
          </w:p>
          <w:p w14:paraId="19841E68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Agree complete robustness scenario matrix (reference set + robustness set)</w:t>
            </w:r>
          </w:p>
          <w:p w14:paraId="7C8F3D6A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Agree cross-platform validation protocol and assign responsibilities</w:t>
            </w:r>
          </w:p>
          <w:p w14:paraId="1E341035" w14:textId="77777777" w:rsidR="00CE5CF6" w:rsidRDefault="00CE5CF6" w:rsidP="00CE5CF6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291" w:hanging="189"/>
            </w:pPr>
            <w:r>
              <w:rPr>
                <w:rFonts w:ascii="Calibri Light" w:eastAsia="Calibri Light" w:hAnsi="Calibri Light" w:cs="Calibri Light"/>
                <w:b/>
                <w:bCs/>
                <w:sz w:val="16"/>
                <w:szCs w:val="16"/>
              </w:rPr>
              <w:t>Agree Wageningen communication and decision-making format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5E8F1B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i/>
                <w:iCs/>
                <w:sz w:val="15"/>
                <w:szCs w:val="15"/>
              </w:rPr>
              <w:t xml:space="preserve">Full drafts MSE-01 and MSE-03; Slick/trade-off prototype if available; updated OM status </w:t>
            </w:r>
            <w:proofErr w:type="gramStart"/>
            <w:r>
              <w:rPr>
                <w:rFonts w:ascii="Calibri Light" w:eastAsia="Calibri Light" w:hAnsi="Calibri Light" w:cs="Calibri Light"/>
                <w:i/>
                <w:iCs/>
                <w:sz w:val="15"/>
                <w:szCs w:val="15"/>
              </w:rPr>
              <w:t>note</w:t>
            </w:r>
            <w:proofErr w:type="gramEnd"/>
            <w:r>
              <w:rPr>
                <w:rFonts w:ascii="Calibri Light" w:eastAsia="Calibri Light" w:hAnsi="Calibri Light" w:cs="Calibri Light"/>
                <w:i/>
                <w:iCs/>
                <w:sz w:val="15"/>
                <w:szCs w:val="15"/>
              </w:rPr>
              <w:t xml:space="preserve"> from WMR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CA4CE16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2E75B6"/>
                <w:sz w:val="15"/>
                <w:szCs w:val="15"/>
              </w:rPr>
              <w:t>MSE-01</w:t>
            </w:r>
          </w:p>
          <w:p w14:paraId="7982DC35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2E75B6"/>
                <w:sz w:val="15"/>
                <w:szCs w:val="15"/>
              </w:rPr>
              <w:t>MSE-02</w:t>
            </w:r>
          </w:p>
          <w:p w14:paraId="2C46E2A1" w14:textId="77777777" w:rsidR="00CE5CF6" w:rsidRDefault="00CE5CF6" w:rsidP="008148A2">
            <w:pPr>
              <w:spacing w:line="200" w:lineRule="exact"/>
            </w:pPr>
            <w:r>
              <w:rPr>
                <w:rFonts w:ascii="Calibri Light" w:eastAsia="Calibri Light" w:hAnsi="Calibri Light" w:cs="Calibri Light"/>
                <w:b/>
                <w:bCs/>
                <w:color w:val="2E75B6"/>
                <w:sz w:val="15"/>
                <w:szCs w:val="15"/>
              </w:rPr>
              <w:t>MSE-03</w:t>
            </w:r>
          </w:p>
        </w:tc>
      </w:tr>
    </w:tbl>
    <w:p w14:paraId="273D5932" w14:textId="77777777" w:rsidR="00CE5CF6" w:rsidRDefault="00CE5CF6" w:rsidP="00CE5CF6">
      <w:pPr>
        <w:spacing w:before="80"/>
      </w:pPr>
      <w:r>
        <w:rPr>
          <w:rFonts w:ascii="Calibri Light" w:eastAsia="Calibri Light" w:hAnsi="Calibri Light" w:cs="Calibri Light"/>
          <w:b/>
          <w:bCs/>
          <w:sz w:val="15"/>
          <w:szCs w:val="15"/>
        </w:rPr>
        <w:t xml:space="preserve">Notes: </w:t>
      </w:r>
      <w:r>
        <w:rPr>
          <w:rFonts w:ascii="Calibri Light" w:eastAsia="Calibri Light" w:hAnsi="Calibri Light" w:cs="Calibri Light"/>
          <w:i/>
          <w:iCs/>
          <w:sz w:val="15"/>
          <w:szCs w:val="15"/>
        </w:rPr>
        <w:t>(1) If Lima Benchmark endorses reconditioning the OM, TG-04 agenda must adjust to incorporate benchmark outcomes before Wageningen. (2) The stock-hypothesis weighting decision (TG-04) is a potential sticking point — plan extra time or a dedicated sub-group call if no consensus at TG-03. (3) All working paper drafts should be circulated at least 5 working days before each TG.</w:t>
      </w:r>
    </w:p>
    <w:sectPr w:rsidR="00CE5CF6">
      <w:headerReference w:type="default" r:id="rId7"/>
      <w:headerReference w:type="first" r:id="rId8"/>
      <w:pgSz w:w="11906" w:h="16838"/>
      <w:pgMar w:top="993" w:right="991" w:bottom="900" w:left="851" w:header="426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AA86" w14:textId="77777777" w:rsidR="00D248FC" w:rsidRDefault="00D248FC">
      <w:r>
        <w:separator/>
      </w:r>
    </w:p>
  </w:endnote>
  <w:endnote w:type="continuationSeparator" w:id="0">
    <w:p w14:paraId="0F29F78D" w14:textId="77777777" w:rsidR="00D248FC" w:rsidRDefault="00D2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C2B2" w14:textId="77777777" w:rsidR="00D248FC" w:rsidRDefault="00D248FC">
      <w:r>
        <w:separator/>
      </w:r>
    </w:p>
  </w:footnote>
  <w:footnote w:type="continuationSeparator" w:id="0">
    <w:p w14:paraId="50E92257" w14:textId="77777777" w:rsidR="00D248FC" w:rsidRDefault="00D24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3150" w14:textId="77777777" w:rsidR="00276D00" w:rsidRDefault="00276D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1AA3" w14:textId="77777777" w:rsidR="00276D00" w:rsidRDefault="00000000">
    <w:r>
      <w:rPr>
        <w:noProof/>
      </w:rPr>
      <w:drawing>
        <wp:inline distT="0" distB="0" distL="0" distR="0" wp14:anchorId="10D8A919" wp14:editId="62DBEA5D">
          <wp:extent cx="6400800" cy="1040130"/>
          <wp:effectExtent l="0" t="0" r="0" b="0"/>
          <wp:docPr id="1001" name="JM_WG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" name="JM_WG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9228E"/>
    <w:multiLevelType w:val="hybridMultilevel"/>
    <w:tmpl w:val="AC4EA52C"/>
    <w:lvl w:ilvl="0" w:tplc="34DC2616">
      <w:start w:val="1"/>
      <w:numFmt w:val="bullet"/>
      <w:lvlText w:val="●"/>
      <w:lvlJc w:val="left"/>
      <w:pPr>
        <w:ind w:left="720" w:hanging="360"/>
      </w:pPr>
    </w:lvl>
    <w:lvl w:ilvl="1" w:tplc="5C26792A">
      <w:start w:val="1"/>
      <w:numFmt w:val="bullet"/>
      <w:lvlText w:val="○"/>
      <w:lvlJc w:val="left"/>
      <w:pPr>
        <w:ind w:left="1440" w:hanging="360"/>
      </w:pPr>
    </w:lvl>
    <w:lvl w:ilvl="2" w:tplc="AB348B92">
      <w:start w:val="1"/>
      <w:numFmt w:val="bullet"/>
      <w:lvlText w:val="■"/>
      <w:lvlJc w:val="left"/>
      <w:pPr>
        <w:ind w:left="2160" w:hanging="360"/>
      </w:pPr>
    </w:lvl>
    <w:lvl w:ilvl="3" w:tplc="0444E89C">
      <w:start w:val="1"/>
      <w:numFmt w:val="bullet"/>
      <w:lvlText w:val="●"/>
      <w:lvlJc w:val="left"/>
      <w:pPr>
        <w:ind w:left="2880" w:hanging="360"/>
      </w:pPr>
    </w:lvl>
    <w:lvl w:ilvl="4" w:tplc="424CA9FA">
      <w:start w:val="1"/>
      <w:numFmt w:val="bullet"/>
      <w:lvlText w:val="○"/>
      <w:lvlJc w:val="left"/>
      <w:pPr>
        <w:ind w:left="3600" w:hanging="360"/>
      </w:pPr>
    </w:lvl>
    <w:lvl w:ilvl="5" w:tplc="68028B3C">
      <w:start w:val="1"/>
      <w:numFmt w:val="bullet"/>
      <w:lvlText w:val="■"/>
      <w:lvlJc w:val="left"/>
      <w:pPr>
        <w:ind w:left="4320" w:hanging="360"/>
      </w:pPr>
    </w:lvl>
    <w:lvl w:ilvl="6" w:tplc="165E5EF4">
      <w:start w:val="1"/>
      <w:numFmt w:val="bullet"/>
      <w:lvlText w:val="●"/>
      <w:lvlJc w:val="left"/>
      <w:pPr>
        <w:ind w:left="5040" w:hanging="360"/>
      </w:pPr>
    </w:lvl>
    <w:lvl w:ilvl="7" w:tplc="0B680724">
      <w:start w:val="1"/>
      <w:numFmt w:val="bullet"/>
      <w:lvlText w:val="●"/>
      <w:lvlJc w:val="left"/>
      <w:pPr>
        <w:ind w:left="5760" w:hanging="360"/>
      </w:pPr>
    </w:lvl>
    <w:lvl w:ilvl="8" w:tplc="2DE86D3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2331948"/>
    <w:multiLevelType w:val="hybridMultilevel"/>
    <w:tmpl w:val="47307CE2"/>
    <w:lvl w:ilvl="0" w:tplc="8B387070">
      <w:start w:val="1"/>
      <w:numFmt w:val="bullet"/>
      <w:lvlText w:val="•"/>
      <w:lvlJc w:val="left"/>
      <w:pPr>
        <w:ind w:left="720" w:hanging="360"/>
      </w:pPr>
    </w:lvl>
    <w:lvl w:ilvl="1" w:tplc="02F481A2">
      <w:numFmt w:val="decimal"/>
      <w:lvlText w:val=""/>
      <w:lvlJc w:val="left"/>
    </w:lvl>
    <w:lvl w:ilvl="2" w:tplc="BF3AC2B2">
      <w:numFmt w:val="decimal"/>
      <w:lvlText w:val=""/>
      <w:lvlJc w:val="left"/>
    </w:lvl>
    <w:lvl w:ilvl="3" w:tplc="CF6050AE">
      <w:numFmt w:val="decimal"/>
      <w:lvlText w:val=""/>
      <w:lvlJc w:val="left"/>
    </w:lvl>
    <w:lvl w:ilvl="4" w:tplc="A80A2DC4">
      <w:numFmt w:val="decimal"/>
      <w:lvlText w:val=""/>
      <w:lvlJc w:val="left"/>
    </w:lvl>
    <w:lvl w:ilvl="5" w:tplc="26E8FD70">
      <w:numFmt w:val="decimal"/>
      <w:lvlText w:val=""/>
      <w:lvlJc w:val="left"/>
    </w:lvl>
    <w:lvl w:ilvl="6" w:tplc="746CDCF4">
      <w:numFmt w:val="decimal"/>
      <w:lvlText w:val=""/>
      <w:lvlJc w:val="left"/>
    </w:lvl>
    <w:lvl w:ilvl="7" w:tplc="0664A5B8">
      <w:numFmt w:val="decimal"/>
      <w:lvlText w:val=""/>
      <w:lvlJc w:val="left"/>
    </w:lvl>
    <w:lvl w:ilvl="8" w:tplc="029EBA4E">
      <w:numFmt w:val="decimal"/>
      <w:lvlText w:val=""/>
      <w:lvlJc w:val="left"/>
    </w:lvl>
  </w:abstractNum>
  <w:abstractNum w:abstractNumId="2" w15:restartNumberingAfterBreak="0">
    <w:nsid w:val="66DB1DE2"/>
    <w:multiLevelType w:val="hybridMultilevel"/>
    <w:tmpl w:val="457CF1EC"/>
    <w:lvl w:ilvl="0" w:tplc="789A2834">
      <w:start w:val="1"/>
      <w:numFmt w:val="bullet"/>
      <w:lvlText w:val="•"/>
      <w:lvlJc w:val="left"/>
      <w:pPr>
        <w:spacing w:before="0" w:after="0"/>
        <w:ind w:left="360" w:hanging="220"/>
      </w:pPr>
    </w:lvl>
    <w:lvl w:ilvl="1" w:tplc="D22220F8">
      <w:numFmt w:val="decimal"/>
      <w:lvlText w:val=""/>
      <w:lvlJc w:val="left"/>
    </w:lvl>
    <w:lvl w:ilvl="2" w:tplc="31F60314">
      <w:numFmt w:val="decimal"/>
      <w:lvlText w:val=""/>
      <w:lvlJc w:val="left"/>
    </w:lvl>
    <w:lvl w:ilvl="3" w:tplc="8F0ADEB8">
      <w:numFmt w:val="decimal"/>
      <w:lvlText w:val=""/>
      <w:lvlJc w:val="left"/>
    </w:lvl>
    <w:lvl w:ilvl="4" w:tplc="C5946E28">
      <w:numFmt w:val="decimal"/>
      <w:lvlText w:val=""/>
      <w:lvlJc w:val="left"/>
    </w:lvl>
    <w:lvl w:ilvl="5" w:tplc="90185898">
      <w:numFmt w:val="decimal"/>
      <w:lvlText w:val=""/>
      <w:lvlJc w:val="left"/>
    </w:lvl>
    <w:lvl w:ilvl="6" w:tplc="3D345126">
      <w:numFmt w:val="decimal"/>
      <w:lvlText w:val=""/>
      <w:lvlJc w:val="left"/>
    </w:lvl>
    <w:lvl w:ilvl="7" w:tplc="8C74A800">
      <w:numFmt w:val="decimal"/>
      <w:lvlText w:val=""/>
      <w:lvlJc w:val="left"/>
    </w:lvl>
    <w:lvl w:ilvl="8" w:tplc="9DBE2A9C">
      <w:numFmt w:val="decimal"/>
      <w:lvlText w:val=""/>
      <w:lvlJc w:val="left"/>
    </w:lvl>
  </w:abstractNum>
  <w:num w:numId="1" w16cid:durableId="1844129819">
    <w:abstractNumId w:val="0"/>
    <w:lvlOverride w:ilvl="0">
      <w:startOverride w:val="1"/>
    </w:lvlOverride>
  </w:num>
  <w:num w:numId="2" w16cid:durableId="153165113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326"/>
    <w:rsid w:val="00062166"/>
    <w:rsid w:val="000A4C44"/>
    <w:rsid w:val="000B5AC4"/>
    <w:rsid w:val="00276D00"/>
    <w:rsid w:val="003515AA"/>
    <w:rsid w:val="00360617"/>
    <w:rsid w:val="003D2326"/>
    <w:rsid w:val="004B68AE"/>
    <w:rsid w:val="004C5B38"/>
    <w:rsid w:val="006446A0"/>
    <w:rsid w:val="00645DEC"/>
    <w:rsid w:val="006B6416"/>
    <w:rsid w:val="00702A4D"/>
    <w:rsid w:val="00794F27"/>
    <w:rsid w:val="00942380"/>
    <w:rsid w:val="00B6787A"/>
    <w:rsid w:val="00C74868"/>
    <w:rsid w:val="00CE5CF6"/>
    <w:rsid w:val="00D248FC"/>
    <w:rsid w:val="00D35746"/>
    <w:rsid w:val="00D46F3F"/>
    <w:rsid w:val="00F94BF1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5031B6"/>
  <w15:docId w15:val="{E79E8259-7865-8143-B317-5178C5D1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998</Words>
  <Characters>5985</Characters>
  <Application>Microsoft Office Word</Application>
  <DocSecurity>0</DocSecurity>
  <Lines>261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Fisheries Science Center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James Ianelli</cp:lastModifiedBy>
  <cp:revision>2</cp:revision>
  <dcterms:created xsi:type="dcterms:W3CDTF">2026-04-05T04:52:00Z</dcterms:created>
  <dcterms:modified xsi:type="dcterms:W3CDTF">2026-04-05T04:52:00Z</dcterms:modified>
</cp:coreProperties>
</file>