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SCW16-Doc00, Preliminary agenda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paper compiles the current draft benchmark agenda for the abundance-index sessions.</w:t>
      </w:r>
      <w:r>
        <w:t xml:space="preserve"> </w:t>
      </w:r>
      <w:r>
        <w:t xml:space="preserve">It combines the acoustic-session schedule prepared by IMARPE and IFOP and the CPUE-session</w:t>
      </w:r>
      <w:r>
        <w:t xml:space="preserve"> </w:t>
      </w:r>
      <w:r>
        <w:t xml:space="preserve">agenda developed at the CPUE coordination meeting held on 14 April 2026.</w:t>
      </w:r>
    </w:p>
    <w:p>
      <w:pPr>
        <w:pStyle w:val="BodyText"/>
      </w:pPr>
      <w:r>
        <w:t xml:space="preserve">Participants in the acoustic drafting committee included Criscely Lujan, Daniel Ramos,</w:t>
      </w:r>
      <w:r>
        <w:t xml:space="preserve"> </w:t>
      </w:r>
      <w:r>
        <w:t xml:space="preserve">Mariano Gutiérrez, Ignacio Payá, Victor Catasti, and José Zenteno.</w:t>
      </w:r>
    </w:p>
    <w:p>
      <w:pPr>
        <w:pStyle w:val="BodyText"/>
      </w:pPr>
      <w:r>
        <w:t xml:space="preserve">Participants in the CPUE coordination meeting included Criscely Lujan, Miriam Geronimo,</w:t>
      </w:r>
      <w:r>
        <w:t xml:space="preserve"> </w:t>
      </w:r>
      <w:r>
        <w:t xml:space="preserve">Erich Diaz, Ignacio Payá, José Zenteno, Sebastián Vásquez, and Niels Hintzen.</w:t>
      </w:r>
    </w:p>
    <w:bookmarkStart w:id="14" w:name="X3c14e84487627fe36a19ff569c774c2d12c20b1"/>
    <w:p>
      <w:pPr>
        <w:pStyle w:val="Heading2"/>
      </w:pPr>
      <w:r>
        <w:t xml:space="preserve">Day 1. Preliminary Acoustic Session Agenda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Start time:</w:t>
      </w:r>
      <w:r>
        <w:t xml:space="preserve"> </w:t>
      </w:r>
      <w:r>
        <w:t xml:space="preserve">09:00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Date:</w:t>
      </w:r>
      <w:r>
        <w:t xml:space="preserve"> </w:t>
      </w:r>
      <w:r>
        <w:t xml:space="preserve">Monday, 18 May 2026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Note:</w:t>
      </w:r>
      <w:r>
        <w:t xml:space="preserve"> </w:t>
      </w:r>
      <w:r>
        <w:t xml:space="preserve">The morning coffee break is scheduled early on Day 1 only. For the</w:t>
      </w:r>
      <w:r>
        <w:t xml:space="preserve"> </w:t>
      </w:r>
      <w:r>
        <w:t xml:space="preserve">rest of the week, the morning coffee break is expected at 10:30.</w:t>
      </w:r>
    </w:p>
    <w:bookmarkStart w:id="9" w:name="opening"/>
    <w:p>
      <w:pPr>
        <w:pStyle w:val="Heading3"/>
      </w:pPr>
      <w:r>
        <w:t xml:space="preserve">Opening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Presenter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09:00-09:20</w:t>
            </w:r>
          </w:p>
        </w:tc>
        <w:tc>
          <w:tcPr/>
          <w:p>
            <w:pPr>
              <w:pStyle w:val="Compact"/>
            </w:pPr>
            <w:r>
              <w:t xml:space="preserve">Opening Ceremony</w:t>
            </w:r>
          </w:p>
        </w:tc>
        <w:tc>
          <w:tcPr/>
          <w:p>
            <w:pPr>
              <w:pStyle w:val="Compact"/>
            </w:pPr>
            <w:r>
              <w:t xml:space="preserve">Executive President of IMARPE</w:t>
            </w:r>
          </w:p>
        </w:tc>
      </w:tr>
      <w:tr>
        <w:tc>
          <w:tcPr/>
          <w:p>
            <w:pPr>
              <w:pStyle w:val="Compact"/>
            </w:pPr>
            <w:r>
              <w:t xml:space="preserve">09:20-09:30</w:t>
            </w:r>
          </w:p>
        </w:tc>
        <w:tc>
          <w:tcPr/>
          <w:p>
            <w:pPr>
              <w:pStyle w:val="Compact"/>
            </w:pPr>
            <w:r>
              <w:t xml:space="preserve">Official Photo</w:t>
            </w:r>
          </w:p>
        </w:tc>
        <w:tc>
          <w:tcPr/>
          <w:p>
            <w:pPr>
              <w:pStyle w:val="Compact"/>
            </w:pPr>
            <w:r>
              <w:t xml:space="preserve">All participants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09:30-09:45</w:t>
            </w:r>
          </w:p>
        </w:tc>
        <w:tc>
          <w:tcPr/>
          <w:p>
            <w:pPr>
              <w:pStyle w:val="Compact"/>
            </w:pPr>
            <w:r>
              <w:t xml:space="preserve">Coffee break</w:t>
            </w:r>
          </w:p>
        </w:tc>
        <w:tc>
          <w:tcPr/>
          <w:p>
            <w:pPr>
              <w:pStyle w:val="Compact"/>
            </w:pPr>
          </w:p>
        </w:tc>
      </w:tr>
    </w:tbl>
    <w:bookmarkEnd w:id="9"/>
    <w:bookmarkStart w:id="11" w:name="session-1"/>
    <w:p>
      <w:pPr>
        <w:pStyle w:val="Heading3"/>
      </w:pPr>
      <w:r>
        <w:t xml:space="preserve">Session 1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Presenter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09:45-10:05</w:t>
            </w:r>
          </w:p>
        </w:tc>
        <w:tc>
          <w:tcPr/>
          <w:p>
            <w:pPr>
              <w:pStyle w:val="Compact"/>
            </w:pPr>
            <w:r>
              <w:t xml:space="preserve">Historical review of hydroacoustic survey programs in north-central Chile</w:t>
            </w:r>
          </w:p>
        </w:tc>
        <w:tc>
          <w:tcPr/>
          <w:p>
            <w:pPr>
              <w:pStyle w:val="Compact"/>
            </w:pPr>
            <w:r>
              <w:t xml:space="preserve">V. Catasti (IFOP)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10:05-10:25</w:t>
            </w:r>
          </w:p>
        </w:tc>
        <w:tc>
          <w:tcPr/>
          <w:p>
            <w:pPr>
              <w:pStyle w:val="Compact"/>
            </w:pPr>
            <w:r>
              <w:t xml:space="preserve">Preliminary results of the 2026 north-central Chile hydroacoustic survey</w:t>
            </w:r>
          </w:p>
        </w:tc>
        <w:tc>
          <w:tcPr/>
          <w:p>
            <w:pPr>
              <w:pStyle w:val="Compact"/>
            </w:pPr>
            <w:r>
              <w:t xml:space="preserve">V. Catasti (IFOP)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10:25-10:45</w:t>
            </w:r>
          </w:p>
        </w:tc>
        <w:tc>
          <w:tcPr/>
          <w:p>
            <w:pPr>
              <w:pStyle w:val="Compact"/>
            </w:pPr>
            <w:r>
              <w:t xml:space="preserve">Oceanography conditions during the 2026 acoustic survey</w:t>
            </w:r>
          </w:p>
        </w:tc>
        <w:tc>
          <w:tcPr/>
          <w:p>
            <w:pPr>
              <w:pStyle w:val="Compact"/>
            </w:pPr>
            <w:r>
              <w:t xml:space="preserve">J. Letelier (IFOP)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10:45-11:05</w:t>
            </w:r>
          </w:p>
        </w:tc>
        <w:tc>
          <w:tcPr/>
          <w:p>
            <w:pPr>
              <w:pStyle w:val="Compact"/>
            </w:pPr>
            <w:r>
              <w:t xml:space="preserve">Spatio-temporal modeling of acoustic backscatter (Sa) from the north-central Chile survey using</w:t>
            </w:r>
            <w:r>
              <w:t xml:space="preserve"> </w:t>
            </w:r>
            <w:r>
              <w:rPr>
                <w:rStyle w:val="VerbatimChar"/>
              </w:rPr>
              <w:t xml:space="preserve">sdmTMB</w:t>
            </w:r>
          </w:p>
        </w:tc>
        <w:tc>
          <w:tcPr/>
          <w:p>
            <w:pPr>
              <w:pStyle w:val="Compact"/>
            </w:pPr>
            <w:r>
              <w:t xml:space="preserve">I. Payá and V. Catasti (IFOP)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11:05-11:25</w:t>
            </w:r>
          </w:p>
        </w:tc>
        <w:tc>
          <w:tcPr/>
          <w:p>
            <w:pPr>
              <w:pStyle w:val="Compact"/>
            </w:pPr>
            <w:r>
              <w:t xml:space="preserve">Toward a standardised abundance index for Chilean jack mackerel: spatio-temporal modelling of acoustic survey data in northern Chile</w:t>
            </w:r>
          </w:p>
        </w:tc>
        <w:tc>
          <w:tcPr/>
          <w:p>
            <w:pPr>
              <w:pStyle w:val="Compact"/>
            </w:pPr>
            <w:r>
              <w:t xml:space="preserve">M.G. Pennino, S. Vásquez, N. Alegría, and A. Sepúlveda (INPESCA)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11:25-11:45</w:t>
            </w:r>
          </w:p>
        </w:tc>
        <w:tc>
          <w:tcPr/>
          <w:p>
            <w:pPr>
              <w:pStyle w:val="Compact"/>
            </w:pPr>
            <w:r>
              <w:t xml:space="preserve">Opportunistic acoustic data collection using the south-central Chilean commercial fleet</w:t>
            </w:r>
          </w:p>
        </w:tc>
        <w:tc>
          <w:tcPr/>
          <w:p>
            <w:pPr>
              <w:pStyle w:val="Compact"/>
            </w:pPr>
            <w:r>
              <w:t xml:space="preserve">N. Alegría (INPESCA)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11:45-12:05</w:t>
            </w:r>
          </w:p>
        </w:tc>
        <w:tc>
          <w:tcPr/>
          <w:p>
            <w:pPr>
              <w:pStyle w:val="Compact"/>
            </w:pPr>
            <w:r>
              <w:t xml:space="preserve">Review of jack mackerel acoustic assessments conducted in Peru, including</w:t>
            </w:r>
            <w:r>
              <w:t xml:space="preserve"> </w:t>
            </w:r>
            <w:hyperlink r:id="rId10">
              <w:r>
                <w:rPr>
                  <w:rStyle w:val="Hyperlink"/>
                </w:rPr>
                <w:t xml:space="preserve">SCW16-Doc16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Carlos Valdes (IMARPE)</w:t>
            </w:r>
          </w:p>
        </w:tc>
      </w:tr>
    </w:tbl>
    <w:bookmarkEnd w:id="11"/>
    <w:bookmarkStart w:id="12" w:name="session-2"/>
    <w:p>
      <w:pPr>
        <w:pStyle w:val="Heading3"/>
      </w:pPr>
      <w:r>
        <w:t xml:space="preserve">Session 2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Presenter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12:05-12:25</w:t>
            </w:r>
          </w:p>
        </w:tc>
        <w:tc>
          <w:tcPr/>
          <w:p>
            <w:pPr>
              <w:pStyle w:val="Compact"/>
            </w:pPr>
            <w:r>
              <w:t xml:space="preserve">Application of sonar systems in Peruvian anchoveta fisheries and potential applicability for jack mackerel in Peru and Chile</w:t>
            </w:r>
          </w:p>
        </w:tc>
        <w:tc>
          <w:tcPr/>
          <w:p>
            <w:pPr>
              <w:pStyle w:val="Compact"/>
            </w:pPr>
            <w:r>
              <w:t xml:space="preserve">Daniel Grados (IMARPE)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12:30-14:00</w:t>
            </w:r>
          </w:p>
        </w:tc>
        <w:tc>
          <w:tcPr/>
          <w:p>
            <w:pPr>
              <w:pStyle w:val="Compact"/>
            </w:pPr>
            <w:r>
              <w:t xml:space="preserve">Lunch break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14:00-14:20</w:t>
            </w:r>
          </w:p>
        </w:tc>
        <w:tc>
          <w:tcPr/>
          <w:p>
            <w:pPr>
              <w:pStyle w:val="Compact"/>
            </w:pPr>
            <w:r>
              <w:t xml:space="preserve">Use of acoustic data collected by fishing vessels for estimating the abundance/biomass of anchovy and Chilean jack mackerel in Peru</w:t>
            </w:r>
          </w:p>
        </w:tc>
        <w:tc>
          <w:tcPr/>
          <w:p>
            <w:pPr>
              <w:pStyle w:val="Compact"/>
            </w:pPr>
            <w:r>
              <w:t xml:space="preserve">M. Gutiérrez (Instituto Humboldt de Investigación Marina y Acuícola)</w:t>
            </w:r>
          </w:p>
        </w:tc>
      </w:tr>
    </w:tbl>
    <w:bookmarkEnd w:id="12"/>
    <w:bookmarkStart w:id="13" w:name="session-3"/>
    <w:p>
      <w:pPr>
        <w:pStyle w:val="Heading3"/>
      </w:pPr>
      <w:r>
        <w:t xml:space="preserve">Session 3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Presenter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14:20-15:15</w:t>
            </w:r>
          </w:p>
        </w:tc>
        <w:tc>
          <w:tcPr/>
          <w:p>
            <w:pPr>
              <w:pStyle w:val="Compact"/>
            </w:pPr>
            <w:r>
              <w:t xml:space="preserve">Examination and/or validation of jack mackerel echograms</w:t>
            </w:r>
          </w:p>
        </w:tc>
        <w:tc>
          <w:tcPr/>
          <w:p>
            <w:pPr>
              <w:pStyle w:val="Compact"/>
            </w:pPr>
            <w:r>
              <w:t xml:space="preserve">All participants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15:15-15:35</w:t>
            </w:r>
          </w:p>
        </w:tc>
        <w:tc>
          <w:tcPr/>
          <w:p>
            <w:pPr>
              <w:pStyle w:val="Compact"/>
            </w:pPr>
            <w:r>
              <w:t xml:space="preserve">Coffee break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15:35-16:25</w:t>
            </w:r>
          </w:p>
        </w:tc>
        <w:tc>
          <w:tcPr/>
          <w:p>
            <w:pPr>
              <w:pStyle w:val="Compact"/>
            </w:pPr>
            <w:r>
              <w:t xml:space="preserve">General discussion</w:t>
            </w:r>
          </w:p>
        </w:tc>
        <w:tc>
          <w:tcPr/>
          <w:p>
            <w:pPr>
              <w:pStyle w:val="Compact"/>
            </w:pPr>
            <w:r>
              <w:t xml:space="preserve">All participants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16:25-17:00</w:t>
            </w:r>
          </w:p>
        </w:tc>
        <w:tc>
          <w:tcPr/>
          <w:p>
            <w:pPr>
              <w:pStyle w:val="Compact"/>
            </w:pPr>
            <w:r>
              <w:t xml:space="preserve">Technical recommendations</w:t>
            </w:r>
          </w:p>
        </w:tc>
        <w:tc>
          <w:tcPr/>
          <w:p>
            <w:pPr>
              <w:pStyle w:val="Compact"/>
            </w:pPr>
            <w:r>
              <w:t xml:space="preserve">All participants</w:t>
            </w:r>
          </w:p>
        </w:tc>
      </w:tr>
    </w:tbl>
    <w:bookmarkEnd w:id="13"/>
    <w:bookmarkEnd w:id="14"/>
    <w:bookmarkStart w:id="17" w:name="X714c2cb5fc0ded1c3db2bdb64c8d0ee6121c99c"/>
    <w:p>
      <w:pPr>
        <w:pStyle w:val="Heading2"/>
      </w:pPr>
      <w:r>
        <w:t xml:space="preserve">Day 2. Preliminary CPUE Session Agenda (</w:t>
      </w:r>
      <w:hyperlink r:id="rId15">
        <w:r>
          <w:rPr>
            <w:rStyle w:val="Hyperlink"/>
          </w:rPr>
          <w:t xml:space="preserve">SCW16-Doc02</w:t>
        </w:r>
      </w:hyperlink>
      <w:r>
        <w:t xml:space="preserve">)</w:t>
      </w:r>
    </w:p>
    <w:p>
      <w:pPr>
        <w:pStyle w:val="FirstParagraph"/>
      </w:pPr>
      <w:r>
        <w:t xml:space="preserve">The Day 2 CPUE session is currently organized as a thematic sequence. Exact time</w:t>
      </w:r>
      <w:r>
        <w:t xml:space="preserve"> </w:t>
      </w:r>
      <w:r>
        <w:t xml:space="preserve">allocations and presenters remain to be confirmed. Background for these</w:t>
      </w:r>
      <w:r>
        <w:t xml:space="preserve"> </w:t>
      </w:r>
      <w:r>
        <w:t xml:space="preserve">discussions is provided in</w:t>
      </w:r>
      <w:r>
        <w:t xml:space="preserve"> </w:t>
      </w:r>
      <w:hyperlink r:id="rId15">
        <w:r>
          <w:rPr>
            <w:rStyle w:val="Hyperlink"/>
          </w:rPr>
          <w:t xml:space="preserve">SCW16-Doc02</w:t>
        </w:r>
      </w:hyperlink>
      <w:r>
        <w:t xml:space="preserve">,</w:t>
      </w:r>
      <w:r>
        <w:t xml:space="preserve"> </w:t>
      </w:r>
      <w:r>
        <w:t xml:space="preserve">which summarizes the CPUE coordination discussion and candidate topics for the</w:t>
      </w:r>
      <w:r>
        <w:t xml:space="preserve"> </w:t>
      </w:r>
      <w:r>
        <w:t xml:space="preserve">benchmark session.</w:t>
      </w:r>
    </w:p>
    <w:p>
      <w:pPr>
        <w:pStyle w:val="BodyText"/>
      </w:pPr>
      <w:r>
        <w:t xml:space="preserve">The Peruvian delegation has requested time during the CPUE session for</w:t>
      </w:r>
      <w:r>
        <w:t xml:space="preserve"> </w:t>
      </w:r>
      <w:hyperlink r:id="rId16">
        <w:r>
          <w:rPr>
            <w:rStyle w:val="Hyperlink"/>
          </w:rPr>
          <w:t xml:space="preserve">SCW16-Doc15</w:t>
        </w:r>
      </w:hyperlink>
      <w:r>
        <w:t xml:space="preserve">,</w:t>
      </w:r>
      <w:r>
        <w:t xml:space="preserve"> </w:t>
      </w:r>
      <w:r>
        <w:rPr>
          <w:i/>
          <w:iCs/>
        </w:rPr>
        <w:t xml:space="preserve">Standardization of catch-per-unit-effort</w:t>
      </w:r>
      <w:r>
        <w:rPr>
          <w:i/>
          <w:iCs/>
        </w:rPr>
        <w:t xml:space="preserve"> </w:t>
      </w:r>
      <w:r>
        <w:rPr>
          <w:i/>
          <w:iCs/>
        </w:rPr>
        <w:t xml:space="preserve">(CPUE) for jack mackerel (2015-2025) in Peruvian national jurisdictional waters</w:t>
      </w:r>
      <w:r>
        <w:t xml:space="preserve"> </w:t>
      </w:r>
      <w:r>
        <w:t xml:space="preserve">(Miran Geronimo and Gersson Roman).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Order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Metadata by fleet and country</w:t>
            </w:r>
          </w:p>
        </w:tc>
        <w:tc>
          <w:tcPr/>
          <w:p>
            <w:pPr>
              <w:pStyle w:val="Compact"/>
            </w:pPr>
            <w:r>
              <w:t xml:space="preserve">Review fleet definitions, spatial coverage, observation level, and index construction by country and fishery.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Methods by fleet and country</w:t>
            </w:r>
          </w:p>
        </w:tc>
        <w:tc>
          <w:tcPr/>
          <w:p>
            <w:pPr>
              <w:pStyle w:val="Compact"/>
            </w:pPr>
            <w:r>
              <w:t xml:space="preserve">Compare GLM, spatio-temporal models, GLMMs with spatio-temporal random effects, and latitude-longitude smoothing approaches, including SCW16-Doc10 and SCW16-Doc12.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Peruvian CPUE report</w:t>
            </w:r>
          </w:p>
        </w:tc>
        <w:tc>
          <w:tcPr/>
          <w:p>
            <w:pPr>
              <w:pStyle w:val="Compact"/>
            </w:pPr>
            <w:r>
              <w:t xml:space="preserve">Present and discuss</w:t>
            </w:r>
            <w:r>
              <w:t xml:space="preserve"> </w:t>
            </w:r>
            <w:hyperlink r:id="rId16">
              <w:r>
                <w:rPr>
                  <w:rStyle w:val="Hyperlink"/>
                </w:rPr>
                <w:t xml:space="preserve">SCW16-Doc15</w:t>
              </w:r>
            </w:hyperlink>
            <w:r>
              <w:t xml:space="preserve">,</w:t>
            </w:r>
            <w:r>
              <w:t xml:space="preserve"> </w:t>
            </w:r>
            <w:r>
              <w:rPr>
                <w:i/>
                <w:iCs/>
              </w:rPr>
              <w:t xml:space="preserve">Standardization of catch-per-unit-effort (CPUE) for jack mackerel (2015-2025) in Peruvian national jurisdictional waters</w:t>
            </w:r>
            <w:r>
              <w:t xml:space="preserve"> </w:t>
            </w:r>
            <w:r>
              <w:t xml:space="preserve">(Miran Geronimo and Gersson Roman).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Comparative analysis and parsimony across candidate indices</w:t>
            </w:r>
          </w:p>
        </w:tc>
        <w:tc>
          <w:tcPr/>
          <w:p>
            <w:pPr>
              <w:pStyle w:val="Compact"/>
            </w:pPr>
            <w:r>
              <w:t xml:space="preserve">Evaluate traditional GLM, spatio-temporal, and environmentally informed approaches and identify the most suitable benchmark candidates, informed by SCW16-Doc03.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Effort-creep review and decision for stock assessment use</w:t>
            </w:r>
          </w:p>
        </w:tc>
        <w:tc>
          <w:tcPr/>
          <w:p>
            <w:pPr>
              <w:pStyle w:val="Compact"/>
            </w:pPr>
            <w:r>
              <w:t xml:space="preserve">Revisit current effort-creep assumptions and consider whether revised treatment is needed for benchmark runs, including SCW16-Doc07.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Catchability-availability blocks by abundance index</w:t>
            </w:r>
          </w:p>
        </w:tc>
        <w:tc>
          <w:tcPr/>
          <w:p>
            <w:pPr>
              <w:pStyle w:val="Compact"/>
            </w:pPr>
            <w:r>
              <w:t xml:space="preserve">Review evidence for temporal or spatial changes in availability, including possible El Niño effects and implications for</w:t>
            </w:r>
            <w:r>
              <w:t xml:space="preserve"> </w:t>
            </w:r>
            <w:r>
              <w:rPr>
                <w:rStyle w:val="VerbatimChar"/>
              </w:rPr>
              <w:t xml:space="preserve">q</w:t>
            </w:r>
            <w:r>
              <w:t xml:space="preserve"> </w:t>
            </w:r>
            <w:r>
              <w:t xml:space="preserve">blocks.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CPUE weighting factors for stock assessment</w:t>
            </w:r>
          </w:p>
        </w:tc>
        <w:tc>
          <w:tcPr/>
          <w:p>
            <w:pPr>
              <w:pStyle w:val="Compact"/>
            </w:pPr>
            <w:r>
              <w:t xml:space="preserve">Discuss weighting choices and how they affect assessment fits and benchmark comparisons.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Separate versus combined index products for HCR use</w:t>
            </w:r>
          </w:p>
        </w:tc>
        <w:tc>
          <w:tcPr/>
          <w:p>
            <w:pPr>
              <w:pStyle w:val="Compact"/>
            </w:pPr>
            <w:r>
              <w:t xml:space="preserve">Consider whether the benchmark should retain separate series or define a combined CPUE product for OM conditioning and MP inputs.</w:t>
            </w:r>
          </w:p>
        </w:tc>
      </w:tr>
    </w:tbl>
    <w:bookmarkEnd w:id="17"/>
    <w:bookmarkStart w:id="20" w:name="Xdddbf6479f3c4ab0ba51ce45a980492bec0f743"/>
    <w:p>
      <w:pPr>
        <w:pStyle w:val="Heading2"/>
      </w:pPr>
      <w:r>
        <w:t xml:space="preserve">Day 3. Recap, Report Drafting, and Biological Inputs</w:t>
      </w:r>
    </w:p>
    <w:p>
      <w:pPr>
        <w:pStyle w:val="FirstParagraph"/>
      </w:pPr>
      <w:r>
        <w:t xml:space="preserve">The morning session will be used to recap the Acoustic and CPUE sessions, identify</w:t>
      </w:r>
      <w:r>
        <w:t xml:space="preserve"> </w:t>
      </w:r>
      <w:r>
        <w:t xml:space="preserve">remaining loose ends, and begin drafting the corresponding report sections. The</w:t>
      </w:r>
      <w:r>
        <w:t xml:space="preserve"> </w:t>
      </w:r>
      <w:r>
        <w:t xml:space="preserve">objective is to document decisions, unresolved technical issues, and follow-up</w:t>
      </w:r>
      <w:r>
        <w:t xml:space="preserve"> </w:t>
      </w:r>
      <w:r>
        <w:t xml:space="preserve">tasks while the index discussions are still current.</w:t>
      </w:r>
    </w:p>
    <w:p>
      <w:pPr>
        <w:pStyle w:val="BodyText"/>
      </w:pPr>
      <w:r>
        <w:t xml:space="preserve">The afternoon session will begin with a summary of SCW16-Doc01 and its</w:t>
      </w:r>
      <w:r>
        <w:t xml:space="preserve"> </w:t>
      </w:r>
      <w:r>
        <w:t xml:space="preserve">implications for benchmark and MSE development. This will be followed by a</w:t>
      </w:r>
      <w:r>
        <w:t xml:space="preserve"> </w:t>
      </w:r>
      <w:r>
        <w:t xml:space="preserve">review of the biological assumptions used in the assessment and operating-model</w:t>
      </w:r>
      <w:r>
        <w:t xml:space="preserve"> </w:t>
      </w:r>
      <w:r>
        <w:t xml:space="preserve">conditioning, including growth, maturity, natural mortality, weight-at-age,</w:t>
      </w:r>
      <w:r>
        <w:t xml:space="preserve"> </w:t>
      </w:r>
      <w:r>
        <w:t xml:space="preserve">stock structure, and recruitment-productivity assumptions. The discussion should</w:t>
      </w:r>
      <w:r>
        <w:t xml:space="preserve"> </w:t>
      </w:r>
      <w:r>
        <w:t xml:space="preserve">identify options for refining model runs and for defining a compact set of</w:t>
      </w:r>
      <w:r>
        <w:t xml:space="preserve"> </w:t>
      </w:r>
      <w:r>
        <w:t xml:space="preserve">assessment and OM alternatives for further evaluation.</w:t>
      </w:r>
    </w:p>
    <w:p>
      <w:pPr>
        <w:pStyle w:val="BodyText"/>
      </w:pPr>
      <w:r>
        <w:t xml:space="preserve">The Peruvian delegation has requested time during the biological-inputs session</w:t>
      </w:r>
      <w:r>
        <w:t xml:space="preserve"> </w:t>
      </w:r>
      <w:r>
        <w:t xml:space="preserve">for</w:t>
      </w:r>
      <w:r>
        <w:t xml:space="preserve"> </w:t>
      </w:r>
      <w:hyperlink r:id="rId18">
        <w:r>
          <w:rPr>
            <w:rStyle w:val="Hyperlink"/>
          </w:rPr>
          <w:t xml:space="preserve">SCW16-Doc14</w:t>
        </w:r>
      </w:hyperlink>
      <w:r>
        <w:t xml:space="preserve">,</w:t>
      </w:r>
      <w:r>
        <w:t xml:space="preserve"> </w:t>
      </w:r>
      <w:r>
        <w:rPr>
          <w:i/>
          <w:iCs/>
        </w:rPr>
        <w:t xml:space="preserve">Technical report on</w:t>
      </w:r>
      <w:r>
        <w:rPr>
          <w:i/>
          <w:iCs/>
        </w:rPr>
        <w:t xml:space="preserve"> </w:t>
      </w:r>
      <w:r>
        <w:rPr>
          <w:i/>
          <w:iCs/>
        </w:rPr>
        <w:t xml:space="preserve">the updated length-frequency data for the Peruvian jack mackerel stock</w:t>
      </w:r>
      <w:r>
        <w:rPr>
          <w:i/>
          <w:iCs/>
        </w:rPr>
        <w:t xml:space="preserve"> </w:t>
      </w:r>
      <w:r>
        <w:rPr>
          <w:i/>
          <w:iCs/>
        </w:rPr>
        <w:t xml:space="preserve">(far-north stock) in Peruvian jurisdictional waters</w:t>
      </w:r>
      <w:r>
        <w:t xml:space="preserve"> </w:t>
      </w:r>
      <w:r>
        <w:t xml:space="preserve">(Criscely Luján and Gersson</w:t>
      </w:r>
      <w:r>
        <w:t xml:space="preserve"> </w:t>
      </w:r>
      <w:r>
        <w:t xml:space="preserve">Roman).</w:t>
      </w:r>
    </w:p>
    <w:p>
      <w:pPr>
        <w:pStyle w:val="BodyText"/>
      </w:pPr>
      <w:r>
        <w:t xml:space="preserve">Additional Peruvian reports noted for the benchmark workshop are:</w:t>
      </w:r>
    </w:p>
    <w:p>
      <w:pPr>
        <w:pStyle w:val="Compact"/>
        <w:numPr>
          <w:ilvl w:val="0"/>
          <w:numId w:val="1002"/>
        </w:numPr>
      </w:pPr>
      <w:hyperlink r:id="rId19">
        <w:r>
          <w:rPr>
            <w:rStyle w:val="Hyperlink"/>
          </w:rPr>
          <w:t xml:space="preserve">SCW16-Doc13</w:t>
        </w:r>
      </w:hyperlink>
      <w:r>
        <w:t xml:space="preserve">,</w:t>
      </w:r>
      <w:r>
        <w:t xml:space="preserve"> </w:t>
      </w:r>
      <w:r>
        <w:rPr>
          <w:i/>
          <w:iCs/>
        </w:rPr>
        <w:t xml:space="preserve">Length-weight relationship</w:t>
      </w:r>
      <w:r>
        <w:rPr>
          <w:i/>
          <w:iCs/>
        </w:rPr>
        <w:t xml:space="preserve"> </w:t>
      </w:r>
      <w:r>
        <w:rPr>
          <w:i/>
          <w:iCs/>
        </w:rPr>
        <w:t xml:space="preserve">of jack mackerel (Trachurus murphyi) in Peru and its implications for biomass</w:t>
      </w:r>
      <w:r>
        <w:rPr>
          <w:i/>
          <w:iCs/>
        </w:rPr>
        <w:t xml:space="preserve"> </w:t>
      </w:r>
      <w:r>
        <w:rPr>
          <w:i/>
          <w:iCs/>
        </w:rPr>
        <w:t xml:space="preserve">estimation</w:t>
      </w:r>
      <w:r>
        <w:t xml:space="preserve"> </w:t>
      </w:r>
      <w:r>
        <w:t xml:space="preserve">(Sandra Cahuin, Ana Alegre and Marilú Bouchon).</w:t>
      </w:r>
    </w:p>
    <w:p>
      <w:pPr>
        <w:pStyle w:val="Compact"/>
        <w:numPr>
          <w:ilvl w:val="0"/>
          <w:numId w:val="1002"/>
        </w:numPr>
      </w:pPr>
      <w:hyperlink r:id="rId10">
        <w:r>
          <w:rPr>
            <w:rStyle w:val="Hyperlink"/>
          </w:rPr>
          <w:t xml:space="preserve">SCW16-Doc16</w:t>
        </w:r>
      </w:hyperlink>
      <w:r>
        <w:t xml:space="preserve">,</w:t>
      </w:r>
      <w:r>
        <w:t xml:space="preserve"> </w:t>
      </w:r>
      <w:r>
        <w:rPr>
          <w:i/>
          <w:iCs/>
        </w:rPr>
        <w:t xml:space="preserve">Considerations on the use</w:t>
      </w:r>
      <w:r>
        <w:rPr>
          <w:i/>
          <w:iCs/>
        </w:rPr>
        <w:t xml:space="preserve"> </w:t>
      </w:r>
      <w:r>
        <w:rPr>
          <w:i/>
          <w:iCs/>
        </w:rPr>
        <w:t xml:space="preserve">of the jack mackerel acoustic index in Peruvian national jurisdictional waters</w:t>
      </w:r>
      <w:r>
        <w:t xml:space="preserve"> </w:t>
      </w:r>
      <w:r>
        <w:t xml:space="preserve">(Gersson Roman, Sandra Cahuin and Marilú Bouchon).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Session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Morning</w:t>
            </w:r>
          </w:p>
        </w:tc>
        <w:tc>
          <w:tcPr/>
          <w:p>
            <w:pPr>
              <w:pStyle w:val="Compact"/>
            </w:pPr>
            <w:r>
              <w:t xml:space="preserve">Acoustic and CPUE recap and report drafting</w:t>
            </w:r>
          </w:p>
        </w:tc>
        <w:tc>
          <w:tcPr/>
          <w:p>
            <w:pPr>
              <w:pStyle w:val="Compact"/>
            </w:pPr>
            <w:r>
              <w:t xml:space="preserve">Summarize key conclusions, outstanding questions, and text needed for the workshop report. Include SCW16-Doc11 catch/fishery data quality checks where they affect benchmark inputs or follow-up tasks.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Afternoon</w:t>
            </w:r>
          </w:p>
        </w:tc>
        <w:tc>
          <w:tcPr/>
          <w:p>
            <w:pPr>
              <w:pStyle w:val="Compact"/>
            </w:pPr>
            <w:r>
              <w:t xml:space="preserve">SCW16-Doc01 summary and biological inputs</w:t>
            </w:r>
          </w:p>
        </w:tc>
        <w:tc>
          <w:tcPr/>
          <w:p>
            <w:pPr>
              <w:pStyle w:val="Compact"/>
            </w:pPr>
            <w:r>
              <w:t xml:space="preserve">Review assessment simplification results, biological assumptions, and options for refined model runs. Include SCW16-Doc05/JM_Biology, SCW16-Doc13 Peru length-weight, and SCW16-Doc14 Peru length-frequency.</w:t>
            </w:r>
          </w:p>
        </w:tc>
      </w:tr>
    </w:tbl>
    <w:bookmarkEnd w:id="20"/>
    <w:bookmarkStart w:id="21" w:name="Xff1c17e19db480750123204ba998bf160cd477b"/>
    <w:p>
      <w:pPr>
        <w:pStyle w:val="Heading2"/>
      </w:pPr>
      <w:r>
        <w:t xml:space="preserve">Day 4. Projections, Recruitment Scenarios, and OM Specifications</w:t>
      </w:r>
    </w:p>
    <w:p>
      <w:pPr>
        <w:pStyle w:val="FirstParagraph"/>
      </w:pPr>
      <w:r>
        <w:t xml:space="preserve">Day 4 will advance discussion of assessment-model projections, recruitment</w:t>
      </w:r>
      <w:r>
        <w:t xml:space="preserve"> </w:t>
      </w:r>
      <w:r>
        <w:t xml:space="preserve">scenarios, and operating-model specifications. This should include how projection</w:t>
      </w:r>
      <w:r>
        <w:t xml:space="preserve"> </w:t>
      </w:r>
      <w:r>
        <w:t xml:space="preserve">assumptions connect to benchmark assessment runs, how alternative recruitment</w:t>
      </w:r>
      <w:r>
        <w:t xml:space="preserve"> </w:t>
      </w:r>
      <w:r>
        <w:t xml:space="preserve">histories or productivity regimes should be represented, and how operating-model</w:t>
      </w:r>
      <w:r>
        <w:t xml:space="preserve"> </w:t>
      </w:r>
      <w:r>
        <w:t xml:space="preserve">sets should be structured for MSE testing.</w:t>
      </w:r>
    </w:p>
    <w:p>
      <w:pPr>
        <w:pStyle w:val="BodyText"/>
      </w:pPr>
      <w:r>
        <w:t xml:space="preserve">The session should also review MCMC evaluations and any technical constraints</w:t>
      </w:r>
      <w:r>
        <w:t xml:space="preserve"> </w:t>
      </w:r>
      <w:r>
        <w:t xml:space="preserve">that affect their use, including convergence diagnostics, run time, storage,</w:t>
      </w:r>
      <w:r>
        <w:t xml:space="preserve"> </w:t>
      </w:r>
      <w:r>
        <w:t xml:space="preserve">parameterization, and feasibility for candidate assessment and operating-model</w:t>
      </w:r>
      <w:r>
        <w:t xml:space="preserve"> </w:t>
      </w:r>
      <w:r>
        <w:t xml:space="preserve">configurations.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Session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Morning</w:t>
            </w:r>
          </w:p>
        </w:tc>
        <w:tc>
          <w:tcPr/>
          <w:p>
            <w:pPr>
              <w:pStyle w:val="Compact"/>
            </w:pPr>
            <w:r>
              <w:t xml:space="preserve">Assessment projections and recruitment scenarios</w:t>
            </w:r>
          </w:p>
        </w:tc>
        <w:tc>
          <w:tcPr/>
          <w:p>
            <w:pPr>
              <w:pStyle w:val="Compact"/>
            </w:pPr>
            <w:r>
              <w:t xml:space="preserve">Review projection assumptions, recruitment windows, productivity regimes, and links to benchmark assessment runs.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Afternoon</w:t>
            </w:r>
          </w:p>
        </w:tc>
        <w:tc>
          <w:tcPr/>
          <w:p>
            <w:pPr>
              <w:pStyle w:val="Compact"/>
            </w:pPr>
            <w:r>
              <w:t xml:space="preserve">OM specifications and MCMC evaluations</w:t>
            </w:r>
          </w:p>
        </w:tc>
        <w:tc>
          <w:tcPr/>
          <w:p>
            <w:pPr>
              <w:pStyle w:val="Compact"/>
            </w:pPr>
            <w:r>
              <w:t xml:space="preserve">Define candidate OM specifications and document MCMC diagnostics, feasibility, and technical constraints, including SCW16-Doc04.</w:t>
            </w:r>
          </w:p>
        </w:tc>
      </w:tr>
    </w:tbl>
    <w:bookmarkEnd w:id="21"/>
    <w:bookmarkStart w:id="22" w:name="X8de8fe1d907eaae9c1bb1b7a5cd9ab8dee6c6d4"/>
    <w:p>
      <w:pPr>
        <w:pStyle w:val="Heading2"/>
      </w:pPr>
      <w:r>
        <w:t xml:space="preserve">Day 5. Final Decisions and Report Adoption</w:t>
      </w:r>
    </w:p>
    <w:p>
      <w:pPr>
        <w:pStyle w:val="FirstParagraph"/>
      </w:pPr>
      <w:r>
        <w:t xml:space="preserve">Day 5 will focus on finalizing workshop decisions and completing report drafting.</w:t>
      </w:r>
      <w:r>
        <w:t xml:space="preserve"> </w:t>
      </w:r>
      <w:r>
        <w:t xml:space="preserve">The goal is to agree on recommendations, document any unresolved issues, and</w:t>
      </w:r>
      <w:r>
        <w:t xml:space="preserve"> </w:t>
      </w:r>
      <w:r>
        <w:t xml:space="preserve">adopt the workshop report for consideration by SC14.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Session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Morning</w:t>
            </w:r>
          </w:p>
        </w:tc>
        <w:tc>
          <w:tcPr/>
          <w:p>
            <w:pPr>
              <w:pStyle w:val="Compact"/>
            </w:pPr>
            <w:r>
              <w:t xml:space="preserve">Final decisions and recommendations</w:t>
            </w:r>
          </w:p>
        </w:tc>
        <w:tc>
          <w:tcPr/>
          <w:p>
            <w:pPr>
              <w:pStyle w:val="Compact"/>
            </w:pPr>
            <w:r>
              <w:t xml:space="preserve">Confirm agreed benchmark inputs, model-run priorities, OM specifications, and follow-up tasks.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Afternoon</w:t>
            </w:r>
          </w:p>
        </w:tc>
        <w:tc>
          <w:tcPr/>
          <w:p>
            <w:pPr>
              <w:pStyle w:val="Compact"/>
            </w:pPr>
            <w:r>
              <w:t xml:space="preserve">Report drafting and adoption</w:t>
            </w:r>
          </w:p>
        </w:tc>
        <w:tc>
          <w:tcPr/>
          <w:p>
            <w:pPr>
              <w:pStyle w:val="Compact"/>
            </w:pPr>
            <w:r>
              <w:t xml:space="preserve">Finalize report text and adopt the report for SC14 consideration.</w:t>
            </w:r>
          </w:p>
        </w:tc>
      </w:tr>
    </w:tbl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5" Target="SCW16-Doc02-CPUE_Coordination.qmd" TargetMode="External" /><Relationship Type="http://schemas.openxmlformats.org/officeDocument/2006/relationships/hyperlink" Id="rId19" Target="SCW16-Doc13-Peru_Length_Weight.pdf" TargetMode="External" /><Relationship Type="http://schemas.openxmlformats.org/officeDocument/2006/relationships/hyperlink" Id="rId18" Target="SCW16-Doc14-Peru_Length_Frequency.pdf" TargetMode="External" /><Relationship Type="http://schemas.openxmlformats.org/officeDocument/2006/relationships/hyperlink" Id="rId16" Target="SCW16-Doc15-Peru_CPUE.pdf" TargetMode="External" /><Relationship Type="http://schemas.openxmlformats.org/officeDocument/2006/relationships/hyperlink" Id="rId10" Target="SCW16-Doc16-Peru_Acoustic_Index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SCW16-Doc02-CPUE_Coordination.qmd" TargetMode="External" /><Relationship Type="http://schemas.openxmlformats.org/officeDocument/2006/relationships/hyperlink" Id="rId19" Target="SCW16-Doc13-Peru_Length_Weight.pdf" TargetMode="External" /><Relationship Type="http://schemas.openxmlformats.org/officeDocument/2006/relationships/hyperlink" Id="rId18" Target="SCW16-Doc14-Peru_Length_Frequency.pdf" TargetMode="External" /><Relationship Type="http://schemas.openxmlformats.org/officeDocument/2006/relationships/hyperlink" Id="rId16" Target="SCW16-Doc15-Peru_CPUE.pdf" TargetMode="External" /><Relationship Type="http://schemas.openxmlformats.org/officeDocument/2006/relationships/hyperlink" Id="rId10" Target="SCW16-Doc16-Peru_Acoustic_Index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SCW16-Doc00, Preliminary agenda</dc:title>
  <dc:creator/>
  <cp:keywords/>
  <dcterms:created xsi:type="dcterms:W3CDTF">2026-05-18T17:16:10Z</dcterms:created>
  <dcterms:modified xsi:type="dcterms:W3CDTF">2026-05-18T17:16:10Z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execute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oc-title">
    <vt:lpwstr>Table of contents</vt:lpwstr>
  </property>
</Properties>
</file>