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6.png" ContentType="image/png"/>
  <Override PartName="/word/media/rId68.png" ContentType="image/png"/>
  <Override PartName="/word/media/rId127.png" ContentType="image/png"/>
  <Override PartName="/word/media/rId135.png" ContentType="image/png"/>
  <Override PartName="/word/media/rId131.png" ContentType="image/png"/>
  <Override PartName="/word/media/rId112.png" ContentType="image/png"/>
  <Override PartName="/word/media/rId120.png" ContentType="image/png"/>
  <Override PartName="/word/media/rId116.png" ContentType="image/png"/>
  <Override PartName="/word/media/rId140.png" ContentType="image/png"/>
  <Override PartName="/word/media/rId144.png" ContentType="image/png"/>
  <Override PartName="/word/media/rId32.png" ContentType="image/png"/>
  <Override PartName="/word/media/rId28.png" ContentType="image/png"/>
  <Override PartName="/word/media/rId59.png" ContentType="image/png"/>
  <Override PartName="/word/media/rId55.png" ContentType="image/png"/>
  <Override PartName="/word/media/rId46.png" ContentType="image/png"/>
  <Override PartName="/word/media/rId50.png" ContentType="image/png"/>
  <Override PartName="/word/media/rId74.png" ContentType="image/png"/>
  <Override PartName="/word/media/rId78.png" ContentType="image/png"/>
  <Override PartName="/word/media/rId63.png" ContentType="image/png"/>
  <Override PartName="/word/media/rId93.png" ContentType="image/png"/>
  <Override PartName="/word/media/rId97.png" ContentType="image/png"/>
  <Override PartName="/word/media/rId84.png" ContentType="image/png"/>
  <Override PartName="/word/media/rId89.png" ContentType="image/png"/>
  <Override PartName="/word/media/rId102.png" ContentType="image/png"/>
  <Override PartName="/word/media/rId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Developments of the base SC13 model for benchmark and MSE considerations</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tbl>
      <w:tblPr>
        <w:tblStyle w:val="Table"/>
        <w:tblW w:type="pct" w:w="5000"/>
        <w:tblLayout w:type="fixed"/>
        <w:tblLook w:firstRow="1" w:lastRow="0" w:firstColumn="0" w:lastColumn="0" w:noHBand="0" w:noVBand="0" w:val="0020"/>
      </w:tblPr>
      <w:tblGrid>
        <w:gridCol w:w="4400"/>
        <w:gridCol w:w="3520"/>
      </w:tblGrid>
      <w:tr>
        <w:trPr>
          <w:tblHeader w:val="on"/>
        </w:trPr>
        <w:tc>
          <w:tcPr/>
          <w:p>
            <w:pPr>
              <w:pStyle w:val="Compact"/>
              <w:jc w:val="center"/>
            </w:pPr>
            <w:r>
              <w:drawing>
                <wp:inline>
                  <wp:extent cx="1234440" cy="1223705"/>
                  <wp:effectExtent b="0" l="0" r="0" t="0"/>
                  <wp:docPr descr="" title="" id="10" name="Picture"/>
                  <a:graphic>
                    <a:graphicData uri="http://schemas.openxmlformats.org/drawingml/2006/picture">
                      <pic:pic>
                        <pic:nvPicPr>
                          <pic:cNvPr descr="annex/logo.png" id="11" name="Picture"/>
                          <pic:cNvPicPr>
                            <a:picLocks noChangeArrowheads="1" noChangeAspect="1"/>
                          </pic:cNvPicPr>
                        </pic:nvPicPr>
                        <pic:blipFill>
                          <a:blip r:embed="rId9"/>
                          <a:stretch>
                            <a:fillRect/>
                          </a:stretch>
                        </pic:blipFill>
                        <pic:spPr bwMode="auto">
                          <a:xfrm>
                            <a:off x="0" y="0"/>
                            <a:ext cx="1234440" cy="1223705"/>
                          </a:xfrm>
                          <a:prstGeom prst="rect">
                            <a:avLst/>
                          </a:prstGeom>
                          <a:noFill/>
                          <a:ln w="9525">
                            <a:noFill/>
                            <a:headEnd/>
                            <a:tailEnd/>
                          </a:ln>
                        </pic:spPr>
                      </pic:pic>
                    </a:graphicData>
                  </a:graphic>
                </wp:inline>
              </w:drawing>
            </w:r>
          </w:p>
        </w:tc>
        <w:tc>
          <w:tcPr/>
          <w:p>
            <w:pPr>
              <w:pStyle w:val="Compact"/>
              <w:jc w:val="left"/>
            </w:pPr>
            <w:r>
              <w:rPr>
                <w:b/>
                <w:bCs/>
              </w:rPr>
              <w:t xml:space="preserve">SPRFMO</w:t>
            </w:r>
            <w:r>
              <w:t xml:space="preserve">South Pacific Regional Fisheries Management Organisation</w:t>
            </w:r>
            <w:r>
              <w:rPr>
                <w:b/>
                <w:bCs/>
              </w:rPr>
              <w:t xml:space="preserve">Jack Mackerel Working Group</w:t>
            </w:r>
          </w:p>
        </w:tc>
      </w:tr>
    </w:tbl>
    <w:p>
      <w:pPr>
        <w:pStyle w:val="BodyText"/>
      </w:pPr>
      <w:r>
        <w:rPr>
          <w:b/>
          <w:bCs/>
        </w:rPr>
        <w:t xml:space="preserve">1.</w:t>
      </w:r>
      <w:r>
        <w:t xml:space="preserve"> </w:t>
      </w:r>
      <w:r>
        <w:rPr>
          <w:i/>
          <w:iCs/>
        </w:rPr>
        <w:t xml:space="preserve">SCW16/Paper-01</w:t>
      </w:r>
    </w:p>
    <w:p>
      <w:pPr>
        <w:pStyle w:val="BodyText"/>
      </w:pPr>
      <w:r>
        <w:t xml:space="preserve">29 April 2026</w:t>
      </w:r>
    </w:p>
    <w:bookmarkStart w:id="13" w:name="abstract"/>
    <w:p>
      <w:pPr>
        <w:pStyle w:val="Heading1"/>
      </w:pPr>
      <w:r>
        <w:t xml:space="preserve">Abstract</w:t>
      </w:r>
    </w:p>
    <w:p>
      <w:pPr>
        <w:pStyle w:val="FirstParagraph"/>
      </w:pPr>
      <w:r>
        <w:rPr>
          <w:b/>
          <w:bCs/>
        </w:rPr>
        <w:t xml:space="preserve">2.</w:t>
      </w:r>
      <w:r>
        <w:t xml:space="preserve"> </w:t>
      </w:r>
      <w:r>
        <w:t xml:space="preserve">This working paper documents the base SC13 jack mackerel assessment model used for advice under the single-stock and two-stock hypotheses, corresponding to model configurations</w:t>
      </w:r>
      <w:r>
        <w:t xml:space="preserve"> </w:t>
      </w:r>
      <w:r>
        <w:rPr>
          <w:rStyle w:val="VerbatimChar"/>
        </w:rPr>
        <w:t xml:space="preserve">h1_1.14</w:t>
      </w:r>
      <w:r>
        <w:t xml:space="preserve"> </w:t>
      </w:r>
      <w:r>
        <w:t xml:space="preserve">and</w:t>
      </w:r>
      <w:r>
        <w:t xml:space="preserve"> </w:t>
      </w:r>
      <w:r>
        <w:rPr>
          <w:rStyle w:val="VerbatimChar"/>
        </w:rPr>
        <w:t xml:space="preserve">h2_1.14</w:t>
      </w:r>
      <w:r>
        <w:t xml:space="preserve">. The paper is intended as a bridge between the full technical annex and a future management strategy evaluation (MSE) framework. Its specific purpose is to describe the Joint Jack Mackerel Model (JJM) as implemented for SC13, identify the principal differences between the two advice models, and define a starting point for evaluating simplified alternatives.</w:t>
      </w:r>
      <w:r>
        <w:t xml:space="preserve"> </w:t>
      </w:r>
      <w:r>
        <w:t xml:space="preserve">The immediate justification for beginning this work is twofold: 1) to cover topics in advance</w:t>
      </w:r>
      <w:r>
        <w:t xml:space="preserve"> </w:t>
      </w:r>
      <w:r>
        <w:t xml:space="preserve">that can be discussed most efficiently at the forthcoming planned benchmark and 2) to</w:t>
      </w:r>
      <w:r>
        <w:t xml:space="preserve"> </w:t>
      </w:r>
      <w:r>
        <w:t xml:space="preserve">help address a number of issues related to the MSE identified during the</w:t>
      </w:r>
      <w:r>
        <w:t xml:space="preserve"> </w:t>
      </w:r>
      <w:hyperlink r:id="rId12">
        <w:r>
          <w:rPr>
            <w:rStyle w:val="Hyperlink"/>
          </w:rPr>
          <w:t xml:space="preserve">July 2025 MSE workshop</w:t>
        </w:r>
      </w:hyperlink>
      <w:r>
        <w:t xml:space="preserve">. These include</w:t>
      </w:r>
      <w:r>
        <w:t xml:space="preserve"> </w:t>
      </w:r>
      <w:r>
        <w:t xml:space="preserve">extensive time-varying selectivity, dynamic reference points that depend on terminal-year</w:t>
      </w:r>
      <w:r>
        <w:t xml:space="preserve"> </w:t>
      </w:r>
      <w:r>
        <w:t xml:space="preserve">model conditions, and projection assumptions that differ from the assumptions used during</w:t>
      </w:r>
      <w:r>
        <w:t xml:space="preserve"> </w:t>
      </w:r>
      <w:r>
        <w:t xml:space="preserve">model fitting. The SC13 base model therefore serves here as the reference assessment</w:t>
      </w:r>
      <w:r>
        <w:t xml:space="preserve"> </w:t>
      </w:r>
      <w:r>
        <w:t xml:space="preserve">formulation from which reduced alternatives can be developed and tested.</w:t>
      </w:r>
    </w:p>
    <w:bookmarkEnd w:id="13"/>
    <w:bookmarkStart w:id="14" w:name="introduction"/>
    <w:p>
      <w:pPr>
        <w:pStyle w:val="Heading1"/>
      </w:pPr>
      <w:r>
        <w:t xml:space="preserve">1. Introduction</w:t>
      </w:r>
    </w:p>
    <w:p>
      <w:pPr>
        <w:pStyle w:val="FirstParagraph"/>
      </w:pPr>
      <w:r>
        <w:rPr>
          <w:b/>
          <w:bCs/>
        </w:rPr>
        <w:t xml:space="preserve">3.</w:t>
      </w:r>
      <w:r>
        <w:t xml:space="preserve"> </w:t>
      </w:r>
      <w:r>
        <w:t xml:space="preserve">The Joint Jack Mackerel Model has been the core age-structured assessment framework used by SPRFMO for jack mackerel over a series of annual updates and technical workshops. In general terms, the model belongs to the class of forward-projecting statistical catch-at-age models developed for fisheries assessment, with estimated population dynamics linked to catch, abundance indices, and composition data through a likelihood-based framework</w:t>
      </w:r>
      <w:r>
        <w:t xml:space="preserve"> </w:t>
      </w:r>
      <w:r>
        <w:t xml:space="preserve">(D. Fournier &amp; Archibald, 1982; Hilborn &amp; Walters, 1992)</w:t>
      </w:r>
      <w:r>
        <w:t xml:space="preserve">.</w:t>
      </w:r>
      <w:r>
        <w:t xml:space="preserve"> </w:t>
      </w:r>
      <w:r>
        <w:t xml:space="preserve">The formal technical reference for the accepted SC13 assessment remains Annex 11 of the SC13 report, the Jack Mackerel Technical Annex</w:t>
      </w:r>
      <w:r>
        <w:t xml:space="preserve"> </w:t>
      </w:r>
      <w:r>
        <w:t xml:space="preserve">(SPRFMO Scientific Committee, 2025)</w:t>
      </w:r>
      <w:r>
        <w:t xml:space="preserve">.</w:t>
      </w:r>
    </w:p>
    <w:p>
      <w:pPr>
        <w:pStyle w:val="BodyText"/>
      </w:pPr>
      <w:r>
        <w:rPr>
          <w:b/>
          <w:bCs/>
        </w:rPr>
        <w:t xml:space="preserve">4.</w:t>
      </w:r>
      <w:r>
        <w:t xml:space="preserve"> </w:t>
      </w:r>
      <w:r>
        <w:t xml:space="preserve">Within the present repository, the SC13 assessment update is represented by model series</w:t>
      </w:r>
      <w:r>
        <w:t xml:space="preserve"> </w:t>
      </w:r>
      <w:r>
        <w:rPr>
          <w:rStyle w:val="VerbatimChar"/>
        </w:rPr>
        <w:t xml:space="preserve">1.14</w:t>
      </w:r>
      <w:r>
        <w:t xml:space="preserve">. The file</w:t>
      </w:r>
      <w:r>
        <w:t xml:space="preserve"> </w:t>
      </w:r>
      <w:r>
        <w:rPr>
          <w:rStyle w:val="VerbatimChar"/>
        </w:rPr>
        <w:t xml:space="preserve">assessment/README.md</w:t>
      </w:r>
      <w:r>
        <w:t xml:space="preserve"> </w:t>
      </w:r>
      <w:r>
        <w:t xml:space="preserve">documents the sequence of changes leading to this configuration. In summary, the 2025 assessment update began with a base update to data and model structure (</w:t>
      </w:r>
      <w:r>
        <w:rPr>
          <w:rStyle w:val="VerbatimChar"/>
        </w:rPr>
        <w:t xml:space="preserve">1.00</w:t>
      </w:r>
      <w:r>
        <w:t xml:space="preserve">) and then proceeded through a sequence of modifications affecting 2025 selectivity, weighting of 2025 age compositions, downweighting of early years of the northern Chile acoustic index, and historical weight-at-age for the Far North fleet. The final advice models were fitted under both stock hypotheses:</w:t>
      </w:r>
      <w:r>
        <w:t xml:space="preserve"> </w:t>
      </w:r>
      <w:r>
        <w:rPr>
          <w:rStyle w:val="VerbatimChar"/>
        </w:rPr>
        <w:t xml:space="preserve">h1_1.14</w:t>
      </w:r>
      <w:r>
        <w:t xml:space="preserve"> </w:t>
      </w:r>
      <w:r>
        <w:t xml:space="preserve">for the single-stock hypothesis and</w:t>
      </w:r>
      <w:r>
        <w:t xml:space="preserve"> </w:t>
      </w:r>
      <w:r>
        <w:rPr>
          <w:rStyle w:val="VerbatimChar"/>
        </w:rPr>
        <w:t xml:space="preserve">h2_1.14</w:t>
      </w:r>
      <w:r>
        <w:t xml:space="preserve"> </w:t>
      </w:r>
      <w:r>
        <w:t xml:space="preserve">for the two-stock hypothesis.</w:t>
      </w:r>
    </w:p>
    <w:p>
      <w:pPr>
        <w:pStyle w:val="BodyText"/>
      </w:pPr>
      <w:r>
        <w:rPr>
          <w:b/>
          <w:bCs/>
        </w:rPr>
        <w:t xml:space="preserve">5.</w:t>
      </w:r>
      <w:r>
        <w:t xml:space="preserve"> </w:t>
      </w:r>
      <w:r>
        <w:t xml:space="preserve">The motivation for documenting these models in a separate working paper is practical. MSE is most useful when the operating model and the management procedure are both transparent, interpretable, and robust to the major uncertainties that matter for management</w:t>
      </w:r>
      <w:r>
        <w:t xml:space="preserve"> </w:t>
      </w:r>
      <w:r>
        <w:t xml:space="preserve">(Butterworth &amp; Punt, 1999; Punt et al., 2016; Siple et al., 2021)</w:t>
      </w:r>
      <w:r>
        <w:t xml:space="preserve">. The July 2025 MSE workshop concluded that direct transfer of the full SC13 assessment structure into MSE would likely import avoidable complexity. This paper therefore treats</w:t>
      </w:r>
      <w:r>
        <w:t xml:space="preserve"> </w:t>
      </w:r>
      <w:r>
        <w:rPr>
          <w:rStyle w:val="VerbatimChar"/>
        </w:rPr>
        <w:t xml:space="preserve">h1_1.14</w:t>
      </w:r>
      <w:r>
        <w:t xml:space="preserve"> </w:t>
      </w:r>
      <w:r>
        <w:t xml:space="preserve">and</w:t>
      </w:r>
      <w:r>
        <w:t xml:space="preserve"> </w:t>
      </w:r>
      <w:r>
        <w:rPr>
          <w:rStyle w:val="VerbatimChar"/>
        </w:rPr>
        <w:t xml:space="preserve">h2_1.14</w:t>
      </w:r>
      <w:r>
        <w:t xml:space="preserve"> </w:t>
      </w:r>
      <w:r>
        <w:t xml:space="preserve">as the base assessment formulations that must first be documented clearly before any simplification is attempted.</w:t>
      </w:r>
    </w:p>
    <w:bookmarkEnd w:id="14"/>
    <w:bookmarkStart w:id="15" w:name="materials-used-for-this-paper"/>
    <w:p>
      <w:pPr>
        <w:pStyle w:val="Heading1"/>
      </w:pPr>
      <w:r>
        <w:t xml:space="preserve">2. Materials Used for This Paper</w:t>
      </w:r>
    </w:p>
    <w:p>
      <w:pPr>
        <w:pStyle w:val="FirstParagraph"/>
      </w:pPr>
      <w:r>
        <w:rPr>
          <w:b/>
          <w:bCs/>
        </w:rPr>
        <w:t xml:space="preserve">6.</w:t>
      </w:r>
      <w:r>
        <w:t xml:space="preserve"> </w:t>
      </w:r>
      <w:r>
        <w:t xml:space="preserve">This paper is based on the contents of the assessment directory, with the following files providing the main technical basis for the description:</w:t>
      </w:r>
    </w:p>
    <w:p>
      <w:pPr>
        <w:pStyle w:val="Compact"/>
        <w:numPr>
          <w:ilvl w:val="0"/>
          <w:numId w:val="1001"/>
        </w:numPr>
      </w:pPr>
      <w:r>
        <w:rPr>
          <w:rStyle w:val="VerbatimChar"/>
        </w:rPr>
        <w:t xml:space="preserve">assessment/README.md</w:t>
      </w:r>
      <w:r>
        <w:t xml:space="preserve">, which documents the model progression to SC13;</w:t>
      </w:r>
    </w:p>
    <w:p>
      <w:pPr>
        <w:pStyle w:val="Compact"/>
        <w:numPr>
          <w:ilvl w:val="0"/>
          <w:numId w:val="1001"/>
        </w:numPr>
      </w:pPr>
      <w:r>
        <w:rPr>
          <w:rStyle w:val="VerbatimChar"/>
        </w:rPr>
        <w:t xml:space="preserve">doc/annex/annex_text.qmd</w:t>
      </w:r>
      <w:r>
        <w:t xml:space="preserve">, which contains the technical annex narrative;</w:t>
      </w:r>
    </w:p>
    <w:p>
      <w:pPr>
        <w:pStyle w:val="Compact"/>
        <w:numPr>
          <w:ilvl w:val="0"/>
          <w:numId w:val="1001"/>
        </w:numPr>
      </w:pPr>
      <w:r>
        <w:rPr>
          <w:rStyle w:val="VerbatimChar"/>
        </w:rPr>
        <w:t xml:space="preserve">assessment/R/SC13.rmd</w:t>
      </w:r>
      <w:r>
        <w:t xml:space="preserve">, which records the SC13 update process and the rationale for the final model;</w:t>
      </w:r>
    </w:p>
    <w:p>
      <w:pPr>
        <w:pStyle w:val="Compact"/>
        <w:numPr>
          <w:ilvl w:val="0"/>
          <w:numId w:val="1001"/>
        </w:numPr>
      </w:pPr>
      <w:r>
        <w:rPr>
          <w:rStyle w:val="VerbatimChar"/>
        </w:rPr>
        <w:t xml:space="preserve">assessment/R/run_projections.R</w:t>
      </w:r>
      <w:r>
        <w:t xml:space="preserve">, which records the projection logic applied to the base model;</w:t>
      </w:r>
    </w:p>
    <w:p>
      <w:pPr>
        <w:pStyle w:val="Compact"/>
        <w:numPr>
          <w:ilvl w:val="0"/>
          <w:numId w:val="1001"/>
        </w:numPr>
      </w:pPr>
      <w:r>
        <w:rPr>
          <w:rStyle w:val="VerbatimChar"/>
        </w:rPr>
        <w:t xml:space="preserve">assessment/input/1.14.dat</w:t>
      </w:r>
      <w:r>
        <w:t xml:space="preserve">, the common data file used by both stock hypotheses;</w:t>
      </w:r>
    </w:p>
    <w:p>
      <w:pPr>
        <w:pStyle w:val="Compact"/>
        <w:numPr>
          <w:ilvl w:val="0"/>
          <w:numId w:val="1001"/>
        </w:numPr>
      </w:pPr>
      <w:r>
        <w:rPr>
          <w:rStyle w:val="VerbatimChar"/>
        </w:rPr>
        <w:t xml:space="preserve">assessment/config/h1_1.14.ctl</w:t>
      </w:r>
      <w:r>
        <w:t xml:space="preserve"> </w:t>
      </w:r>
      <w:r>
        <w:t xml:space="preserve">and</w:t>
      </w:r>
      <w:r>
        <w:t xml:space="preserve"> </w:t>
      </w:r>
      <w:r>
        <w:rPr>
          <w:rStyle w:val="VerbatimChar"/>
        </w:rPr>
        <w:t xml:space="preserve">assessment/config/h2_1.14.ctl</w:t>
      </w:r>
      <w:r>
        <w:t xml:space="preserve">, which define the stock-specific control structures;</w:t>
      </w:r>
    </w:p>
    <w:p>
      <w:pPr>
        <w:pStyle w:val="Compact"/>
        <w:numPr>
          <w:ilvl w:val="0"/>
          <w:numId w:val="1001"/>
        </w:numPr>
      </w:pPr>
      <w:r>
        <w:rPr>
          <w:rStyle w:val="VerbatimChar"/>
        </w:rPr>
        <w:t xml:space="preserve">assessment/results/h1_1.14.rep</w:t>
      </w:r>
      <w:r>
        <w:t xml:space="preserve"> </w:t>
      </w:r>
      <w:r>
        <w:t xml:space="preserve">and</w:t>
      </w:r>
      <w:r>
        <w:t xml:space="preserve"> </w:t>
      </w:r>
      <w:r>
        <w:rPr>
          <w:rStyle w:val="VerbatimChar"/>
        </w:rPr>
        <w:t xml:space="preserve">assessment/results/h2_1.14.rep</w:t>
      </w:r>
      <w:r>
        <w:t xml:space="preserve">, which summarize fitted model outputs and likelihood components.</w:t>
      </w:r>
    </w:p>
    <w:p>
      <w:pPr>
        <w:pStyle w:val="FirstParagraph"/>
      </w:pPr>
      <w:r>
        <w:rPr>
          <w:b/>
          <w:bCs/>
        </w:rPr>
        <w:t xml:space="preserve">7.</w:t>
      </w:r>
      <w:r>
        <w:t xml:space="preserve"> </w:t>
      </w:r>
      <w:r>
        <w:t xml:space="preserve">The objective here is not to reproduce every detail already contained in the annex. Rather, the objective is to extract from those materials a concise but technically defensible description of the SC13 base model for later MSE use.</w:t>
      </w:r>
    </w:p>
    <w:bookmarkEnd w:id="15"/>
    <w:bookmarkStart w:id="20" w:name="X05d1c5f8a92b183aa42d2fe77eeb661c4d500c9"/>
    <w:p>
      <w:pPr>
        <w:pStyle w:val="Heading1"/>
      </w:pPr>
      <w:r>
        <w:t xml:space="preserve">3. General Structure of the JJM Used for SC13</w:t>
      </w:r>
    </w:p>
    <w:bookmarkStart w:id="16" w:name="overview"/>
    <w:p>
      <w:pPr>
        <w:pStyle w:val="Heading2"/>
      </w:pPr>
      <w:r>
        <w:t xml:space="preserve">3.1 Overview</w:t>
      </w:r>
    </w:p>
    <w:p>
      <w:pPr>
        <w:pStyle w:val="FirstParagraph"/>
      </w:pPr>
      <w:r>
        <w:rPr>
          <w:b/>
          <w:bCs/>
        </w:rPr>
        <w:t xml:space="preserve">8.</w:t>
      </w:r>
      <w:r>
        <w:t xml:space="preserve"> </w:t>
      </w:r>
      <w:r>
        <w:t xml:space="preserve">The annex describes the JJM as an explicitly age-structured forward projection model estimated by maximum likelihood. That places it firmly within the standard family of integrated fisheries assessment models derived from statistical catch-at-age theory</w:t>
      </w:r>
      <w:r>
        <w:t xml:space="preserve"> </w:t>
      </w:r>
      <w:r>
        <w:t xml:space="preserve">(D. Fournier &amp; Archibald, 1982; Schnute &amp; Richards, 1995)</w:t>
      </w:r>
      <w:r>
        <w:t xml:space="preserve">. In practical implementation, the JJM is also a highly parameterized nonlinear model fitted through AD Model Builder, which is consistent with the long use of ADMB in stock assessment applications</w:t>
      </w:r>
      <w:r>
        <w:t xml:space="preserve"> </w:t>
      </w:r>
      <w:r>
        <w:t xml:space="preserve">(D. A. Fournier et al., 2012)</w:t>
      </w:r>
      <w:r>
        <w:t xml:space="preserve">.</w:t>
      </w:r>
    </w:p>
    <w:p>
      <w:pPr>
        <w:pStyle w:val="BodyText"/>
      </w:pPr>
      <w:r>
        <w:rPr>
          <w:b/>
          <w:bCs/>
        </w:rPr>
        <w:t xml:space="preserve">9.</w:t>
      </w:r>
      <w:r>
        <w:t xml:space="preserve"> </w:t>
      </w:r>
      <w:r>
        <w:t xml:space="preserve">For SC13, the model is run over years 1970-2025 and ages 1-12. The common data file</w:t>
      </w:r>
      <w:r>
        <w:t xml:space="preserve"> </w:t>
      </w:r>
      <w:r>
        <w:rPr>
          <w:rStyle w:val="VerbatimChar"/>
        </w:rPr>
        <w:t xml:space="preserve">assessment/input/1.14.dat</w:t>
      </w:r>
      <w:r>
        <w:t xml:space="preserve"> </w:t>
      </w:r>
      <w:r>
        <w:t xml:space="preserve">specifies four fishery fleets, seven abundance indices, age-composition observations for multiple fisheries and surveys, length compositions for the Far North fleet, annual catches by fleet, and weight-at-age schedules used in both fishery and survey components. The control files then assign those data to either one or two modeled stocks depending on the hypothesis being fitted.</w:t>
      </w:r>
    </w:p>
    <w:bookmarkEnd w:id="16"/>
    <w:bookmarkStart w:id="17" w:name="data-structure"/>
    <w:p>
      <w:pPr>
        <w:pStyle w:val="Heading2"/>
      </w:pPr>
      <w:r>
        <w:t xml:space="preserve">3.2 Data Structure</w:t>
      </w:r>
    </w:p>
    <w:p>
      <w:pPr>
        <w:pStyle w:val="FirstParagraph"/>
      </w:pPr>
      <w:r>
        <w:rPr>
          <w:b/>
          <w:bCs/>
        </w:rPr>
        <w:t xml:space="preserve">10.</w:t>
      </w:r>
      <w:r>
        <w:t xml:space="preserve"> </w:t>
      </w:r>
      <w:r>
        <w:t xml:space="preserve">The SC13 base data set contains four fleets:</w:t>
      </w:r>
    </w:p>
    <w:p>
      <w:pPr>
        <w:pStyle w:val="Compact"/>
        <w:numPr>
          <w:ilvl w:val="0"/>
          <w:numId w:val="1002"/>
        </w:numPr>
      </w:pPr>
      <w:r>
        <w:rPr>
          <w:rStyle w:val="VerbatimChar"/>
        </w:rPr>
        <w:t xml:space="preserve">N_Chile</w:t>
      </w:r>
      <w:r>
        <w:t xml:space="preserve">;</w:t>
      </w:r>
    </w:p>
    <w:p>
      <w:pPr>
        <w:pStyle w:val="Compact"/>
        <w:numPr>
          <w:ilvl w:val="0"/>
          <w:numId w:val="1002"/>
        </w:numPr>
      </w:pPr>
      <w:r>
        <w:rPr>
          <w:rStyle w:val="VerbatimChar"/>
        </w:rPr>
        <w:t xml:space="preserve">SC_Chile_PS</w:t>
      </w:r>
      <w:r>
        <w:t xml:space="preserve">;</w:t>
      </w:r>
    </w:p>
    <w:p>
      <w:pPr>
        <w:pStyle w:val="Compact"/>
        <w:numPr>
          <w:ilvl w:val="0"/>
          <w:numId w:val="1002"/>
        </w:numPr>
      </w:pPr>
      <w:r>
        <w:rPr>
          <w:rStyle w:val="VerbatimChar"/>
        </w:rPr>
        <w:t xml:space="preserve">FarNorth</w:t>
      </w:r>
      <w:r>
        <w:t xml:space="preserve">;</w:t>
      </w:r>
    </w:p>
    <w:p>
      <w:pPr>
        <w:pStyle w:val="Compact"/>
        <w:numPr>
          <w:ilvl w:val="0"/>
          <w:numId w:val="1002"/>
        </w:numPr>
      </w:pPr>
      <w:r>
        <w:rPr>
          <w:rStyle w:val="VerbatimChar"/>
        </w:rPr>
        <w:t xml:space="preserve">Offshore_Trawl</w:t>
      </w:r>
      <w:r>
        <w:t xml:space="preserve">.</w:t>
      </w:r>
    </w:p>
    <w:p>
      <w:pPr>
        <w:pStyle w:val="FirstParagraph"/>
      </w:pPr>
      <w:r>
        <w:rPr>
          <w:b/>
          <w:bCs/>
        </w:rPr>
        <w:t xml:space="preserve">11.</w:t>
      </w:r>
      <w:r>
        <w:t xml:space="preserve"> </w:t>
      </w:r>
      <w:r>
        <w:t xml:space="preserve">The composition data structure differs by fleet. Age compositions are used for</w:t>
      </w:r>
      <w:r>
        <w:t xml:space="preserve"> </w:t>
      </w:r>
      <w:r>
        <w:rPr>
          <w:rStyle w:val="VerbatimChar"/>
        </w:rPr>
        <w:t xml:space="preserve">N_Chile</w:t>
      </w:r>
      <w:r>
        <w:t xml:space="preserve">,</w:t>
      </w:r>
      <w:r>
        <w:t xml:space="preserve"> </w:t>
      </w:r>
      <w:r>
        <w:rPr>
          <w:rStyle w:val="VerbatimChar"/>
        </w:rPr>
        <w:t xml:space="preserve">SC_Chile_PS</w:t>
      </w:r>
      <w:r>
        <w:t xml:space="preserve">, and</w:t>
      </w:r>
      <w:r>
        <w:t xml:space="preserve"> </w:t>
      </w:r>
      <w:r>
        <w:rPr>
          <w:rStyle w:val="VerbatimChar"/>
        </w:rPr>
        <w:t xml:space="preserve">Offshore_Trawl</w:t>
      </w:r>
      <w:r>
        <w:t xml:space="preserve">, while the</w:t>
      </w:r>
      <w:r>
        <w:t xml:space="preserve"> </w:t>
      </w:r>
      <w:r>
        <w:rPr>
          <w:rStyle w:val="VerbatimChar"/>
        </w:rPr>
        <w:t xml:space="preserve">FarNorth</w:t>
      </w:r>
      <w:r>
        <w:t xml:space="preserve"> </w:t>
      </w:r>
      <w:r>
        <w:t xml:space="preserve">fleet is fitted to length compositions through the modelled growth relationship. The file</w:t>
      </w:r>
      <w:r>
        <w:t xml:space="preserve"> </w:t>
      </w:r>
      <w:r>
        <w:rPr>
          <w:rStyle w:val="VerbatimChar"/>
        </w:rPr>
        <w:t xml:space="preserve">assessment/input/1.14.dat</w:t>
      </w:r>
      <w:r>
        <w:t xml:space="preserve"> </w:t>
      </w:r>
      <w:r>
        <w:t xml:space="preserve">indicates that age-composition observations extend from 1980-2025 for the Chilean fleets and 2015-2025 for the offshore fleet, while length-composition observations are available for the Far North fleet from 1980-2025.</w:t>
      </w:r>
    </w:p>
    <w:p>
      <w:pPr>
        <w:pStyle w:val="BodyText"/>
      </w:pPr>
      <w:r>
        <w:rPr>
          <w:b/>
          <w:bCs/>
        </w:rPr>
        <w:t xml:space="preserve">12.</w:t>
      </w:r>
      <w:r>
        <w:t xml:space="preserve"> </w:t>
      </w:r>
      <w:r>
        <w:t xml:space="preserve">The same data file also includes seven abundance indices:</w:t>
      </w:r>
    </w:p>
    <w:p>
      <w:pPr>
        <w:pStyle w:val="Compact"/>
        <w:numPr>
          <w:ilvl w:val="0"/>
          <w:numId w:val="1003"/>
        </w:numPr>
      </w:pPr>
      <w:r>
        <w:rPr>
          <w:rStyle w:val="VerbatimChar"/>
        </w:rPr>
        <w:t xml:space="preserve">Chile_AcousCS</w:t>
      </w:r>
      <w:r>
        <w:t xml:space="preserve">;</w:t>
      </w:r>
    </w:p>
    <w:p>
      <w:pPr>
        <w:pStyle w:val="Compact"/>
        <w:numPr>
          <w:ilvl w:val="0"/>
          <w:numId w:val="1003"/>
        </w:numPr>
      </w:pPr>
      <w:r>
        <w:rPr>
          <w:rStyle w:val="VerbatimChar"/>
        </w:rPr>
        <w:t xml:space="preserve">Chile_AcousN</w:t>
      </w:r>
      <w:r>
        <w:t xml:space="preserve">;</w:t>
      </w:r>
    </w:p>
    <w:p>
      <w:pPr>
        <w:pStyle w:val="Compact"/>
        <w:numPr>
          <w:ilvl w:val="0"/>
          <w:numId w:val="1003"/>
        </w:numPr>
      </w:pPr>
      <w:r>
        <w:rPr>
          <w:rStyle w:val="VerbatimChar"/>
        </w:rPr>
        <w:t xml:space="preserve">Chile_CPUE</w:t>
      </w:r>
      <w:r>
        <w:t xml:space="preserve">;</w:t>
      </w:r>
    </w:p>
    <w:p>
      <w:pPr>
        <w:pStyle w:val="Compact"/>
        <w:numPr>
          <w:ilvl w:val="0"/>
          <w:numId w:val="1003"/>
        </w:numPr>
      </w:pPr>
      <w:r>
        <w:rPr>
          <w:rStyle w:val="VerbatimChar"/>
        </w:rPr>
        <w:t xml:space="preserve">DEPM</w:t>
      </w:r>
      <w:r>
        <w:t xml:space="preserve">;</w:t>
      </w:r>
    </w:p>
    <w:p>
      <w:pPr>
        <w:pStyle w:val="Compact"/>
        <w:numPr>
          <w:ilvl w:val="0"/>
          <w:numId w:val="1003"/>
        </w:numPr>
      </w:pPr>
      <w:r>
        <w:rPr>
          <w:rStyle w:val="VerbatimChar"/>
        </w:rPr>
        <w:t xml:space="preserve">Peru_Acoustic</w:t>
      </w:r>
      <w:r>
        <w:t xml:space="preserve">;</w:t>
      </w:r>
    </w:p>
    <w:p>
      <w:pPr>
        <w:pStyle w:val="Compact"/>
        <w:numPr>
          <w:ilvl w:val="0"/>
          <w:numId w:val="1003"/>
        </w:numPr>
      </w:pPr>
      <w:r>
        <w:rPr>
          <w:rStyle w:val="VerbatimChar"/>
        </w:rPr>
        <w:t xml:space="preserve">Peru_CPUE</w:t>
      </w:r>
      <w:r>
        <w:t xml:space="preserve">;</w:t>
      </w:r>
    </w:p>
    <w:p>
      <w:pPr>
        <w:pStyle w:val="Compact"/>
        <w:numPr>
          <w:ilvl w:val="0"/>
          <w:numId w:val="1003"/>
        </w:numPr>
      </w:pPr>
      <w:r>
        <w:rPr>
          <w:rStyle w:val="VerbatimChar"/>
        </w:rPr>
        <w:t xml:space="preserve">Offshore_CPUE</w:t>
      </w:r>
      <w:r>
        <w:t xml:space="preserve">.</w:t>
      </w:r>
    </w:p>
    <w:p>
      <w:pPr>
        <w:pStyle w:val="FirstParagraph"/>
      </w:pPr>
      <w:r>
        <w:rPr>
          <w:b/>
          <w:bCs/>
        </w:rPr>
        <w:t xml:space="preserve">13.</w:t>
      </w:r>
      <w:r>
        <w:t xml:space="preserve"> </w:t>
      </w:r>
      <w:r>
        <w:t xml:space="preserve">This is therefore not a sparse index-only assessment. It is a fully integrated model in which trends in biomass and recruitment are informed simultaneously by catch, multiple abundance indices, and composition data, with the latter carrying substantial influence over selectivity and year-class interpretation. The use of composition data at this level also means that weighting, effective sample size, and selectivity specification become major determinants of fit and inference</w:t>
      </w:r>
      <w:r>
        <w:t xml:space="preserve"> </w:t>
      </w:r>
      <w:r>
        <w:t xml:space="preserve">(Francis, 2011)</w:t>
      </w:r>
      <w:r>
        <w:t xml:space="preserve">.</w:t>
      </w:r>
    </w:p>
    <w:bookmarkEnd w:id="17"/>
    <w:bookmarkStart w:id="18" w:name="Xe1264284f219cfec9758543d78372ab59f24161"/>
    <w:p>
      <w:pPr>
        <w:pStyle w:val="Heading2"/>
      </w:pPr>
      <w:r>
        <w:t xml:space="preserve">3.3 Population Dynamics and Observation Model</w:t>
      </w:r>
    </w:p>
    <w:p>
      <w:pPr>
        <w:pStyle w:val="FirstParagraph"/>
      </w:pPr>
      <w:r>
        <w:rPr>
          <w:b/>
          <w:bCs/>
        </w:rPr>
        <w:t xml:space="preserve">14.</w:t>
      </w:r>
      <w:r>
        <w:t xml:space="preserve"> </w:t>
      </w:r>
      <w:r>
        <w:t xml:space="preserve">The annex and control files together indicate a standard age-structured population dynamic</w:t>
      </w:r>
      <w:r>
        <w:t xml:space="preserve"> </w:t>
      </w:r>
      <w:r>
        <w:t xml:space="preserve">framework with stock recruitment, natural mortality, growth, maturity, fleet selectivity,</w:t>
      </w:r>
      <w:r>
        <w:t xml:space="preserve"> </w:t>
      </w:r>
      <w:r>
        <w:t xml:space="preserve">survey selectivity, and catchability. The growth component follows the usual fisheries</w:t>
      </w:r>
      <w:r>
        <w:t xml:space="preserve"> </w:t>
      </w:r>
      <w:r>
        <w:t xml:space="preserve">implementation of the growth</w:t>
      </w:r>
      <w:r>
        <w:t xml:space="preserve"> </w:t>
      </w:r>
      <w:r>
        <w:t xml:space="preserve">(Beverton &amp; Holt, 1957)</w:t>
      </w:r>
      <w:r>
        <w:t xml:space="preserve">.</w:t>
      </w:r>
      <w:r>
        <w:t xml:space="preserve"> </w:t>
      </w:r>
      <w:r>
        <w:t xml:space="preserve">The Far North fleet is modelled through predicted length compositions derived from the age-structured population and the specified growth schedule.</w:t>
      </w:r>
    </w:p>
    <w:p>
      <w:pPr>
        <w:pStyle w:val="BodyText"/>
      </w:pPr>
      <w:r>
        <w:rPr>
          <w:b/>
          <w:bCs/>
        </w:rPr>
        <w:t xml:space="preserve">15.</w:t>
      </w:r>
      <w:r>
        <w:t xml:space="preserve"> </w:t>
      </w:r>
      <w:r>
        <w:t xml:space="preserve">Selectivity is an especially important feature of the SC13 implementation. The annex describes selectivity as non-parametric, fishery-specific, and time-varying. The control files confirm this, showing fleet-specific selectivity structures, annual or block changes by fleet, and selectivity penalties applied to both fisheries and surveys. Time-varying selectivity is a familiar response to changes in fishery behavior and sampling structure, but it is also known to complicate interpretation in catch-at-age assessments</w:t>
      </w:r>
      <w:r>
        <w:t xml:space="preserve"> </w:t>
      </w:r>
      <w:r>
        <w:t xml:space="preserve">(Linton &amp; Bence, 2011)</w:t>
      </w:r>
      <w:r>
        <w:t xml:space="preserve">.</w:t>
      </w:r>
    </w:p>
    <w:p>
      <w:pPr>
        <w:pStyle w:val="BodyText"/>
      </w:pPr>
      <w:r>
        <w:rPr>
          <w:b/>
          <w:bCs/>
        </w:rPr>
        <w:t xml:space="preserve">16.</w:t>
      </w:r>
      <w:r>
        <w:t xml:space="preserve"> </w:t>
      </w:r>
      <w:r>
        <w:t xml:space="preserve">Catchability is index-specific and includes shared settings across the two hypotheses. The annex further notes that standardized CPUE series include explicit assumptions about efficiency creep, consistent with broader literature on fleet evolution and changing fishing power</w:t>
      </w:r>
      <w:r>
        <w:t xml:space="preserve"> </w:t>
      </w:r>
      <w:r>
        <w:t xml:space="preserve">(Rousseau et al., 2019)</w:t>
      </w:r>
      <w:r>
        <w:t xml:space="preserve">.</w:t>
      </w:r>
    </w:p>
    <w:p>
      <w:pPr>
        <w:pStyle w:val="BodyText"/>
      </w:pPr>
      <w:r>
        <w:rPr>
          <w:b/>
          <w:bCs/>
        </w:rPr>
        <w:t xml:space="preserve">17.</w:t>
      </w:r>
      <w:r>
        <w:t xml:space="preserve"> </w:t>
      </w:r>
      <w:r>
        <w:t xml:space="preserve">A compact mathematical summary of the core model structure is provided in the appendix so that the main text can stay focused on the SC13 implementation choices rather than on notation.</w:t>
      </w:r>
    </w:p>
    <w:bookmarkEnd w:id="18"/>
    <w:bookmarkStart w:id="19" w:name="reference-points-and-projections"/>
    <w:p>
      <w:pPr>
        <w:pStyle w:val="Heading2"/>
      </w:pPr>
      <w:r>
        <w:t xml:space="preserve">3.4 Reference Points and Projections</w:t>
      </w:r>
    </w:p>
    <w:p>
      <w:pPr>
        <w:pStyle w:val="FirstParagraph"/>
      </w:pPr>
      <w:r>
        <w:rPr>
          <w:b/>
          <w:bCs/>
        </w:rPr>
        <w:t xml:space="preserve">18.</w:t>
      </w:r>
      <w:r>
        <w:t xml:space="preserve"> </w:t>
      </w:r>
      <w:r>
        <w:t xml:space="preserve">The SC13 annex states that</w:t>
      </w:r>
      <w:r>
        <w:t xml:space="preserve"> </w:t>
      </w:r>
      <m:oMath>
        <m:r>
          <m:t>M</m:t>
        </m:r>
        <m:r>
          <m:t>S</m:t>
        </m:r>
        <m:r>
          <m:t>Y</m:t>
        </m:r>
      </m:oMath>
      <w:r>
        <w:t xml:space="preserve">,</w:t>
      </w:r>
      <w:r>
        <w:t xml:space="preserve"> </w:t>
      </w:r>
      <m:oMath>
        <m:sSub>
          <m:e>
            <m:r>
              <m:t>F</m:t>
            </m:r>
          </m:e>
          <m:sub>
            <m:r>
              <m:t>M</m:t>
            </m:r>
            <m:r>
              <m:t>S</m:t>
            </m:r>
            <m:r>
              <m:t>Y</m:t>
            </m:r>
          </m:sub>
        </m:sSub>
      </m:oMath>
      <w:r>
        <w:t xml:space="preserve"> </w:t>
      </w:r>
      <w:r>
        <w:t xml:space="preserve">and</w:t>
      </w:r>
      <w:r>
        <w:t xml:space="preserve"> </w:t>
      </w:r>
      <m:oMath>
        <m:sSub>
          <m:e>
            <m:r>
              <m:t>B</m:t>
            </m:r>
          </m:e>
          <m:sub>
            <m:r>
              <m:t>M</m:t>
            </m:r>
            <m:r>
              <m:t>S</m:t>
            </m:r>
            <m:r>
              <m:t>Y</m:t>
            </m:r>
          </m:sub>
        </m:sSub>
      </m:oMath>
      <w:r>
        <w:t xml:space="preserve"> </w:t>
      </w:r>
      <w:r>
        <w:t xml:space="preserve">are calculated internally within the JJM using equilibrium calculations based on terminal-year catch shares, selectivity-at-age, and weights-at-age. Accordingly, these reference points are dynamic rather than fixed. The annex also notes that recent advice has used a ten-year average of model-estimated</w:t>
      </w:r>
      <w:r>
        <w:t xml:space="preserve"> </w:t>
      </w:r>
      <m:oMath>
        <m:sSub>
          <m:e>
            <m:r>
              <m:t>B</m:t>
            </m:r>
          </m:e>
          <m:sub>
            <m:r>
              <m:t>M</m:t>
            </m:r>
            <m:r>
              <m:t>S</m:t>
            </m:r>
            <m:r>
              <m:t>Y</m:t>
            </m:r>
          </m:sub>
        </m:sSub>
      </m:oMath>
      <w:r>
        <w:t xml:space="preserve"> </w:t>
      </w:r>
      <w:r>
        <w:t xml:space="preserve">as the reference biomass quantity for comparison.</w:t>
      </w:r>
    </w:p>
    <w:p>
      <w:pPr>
        <w:pStyle w:val="BodyText"/>
      </w:pPr>
      <w:r>
        <w:rPr>
          <w:b/>
          <w:bCs/>
        </w:rPr>
        <w:t xml:space="preserve">19.</w:t>
      </w:r>
      <w:r>
        <w:t xml:space="preserve"> </w:t>
      </w:r>
      <w:r>
        <w:t xml:space="preserve">The projection scripts in</w:t>
      </w:r>
      <w:r>
        <w:t xml:space="preserve"> </w:t>
      </w:r>
      <w:r>
        <w:rPr>
          <w:rStyle w:val="VerbatimChar"/>
        </w:rPr>
        <w:t xml:space="preserve">assessment/R/run_projections.R</w:t>
      </w:r>
      <w:r>
        <w:t xml:space="preserve"> </w:t>
      </w:r>
      <w:r>
        <w:t xml:space="preserve">add a second layer of structure. Future projections are conducted using fixed terminal selectivity and, for the</w:t>
      </w:r>
      <w:r>
        <w:t xml:space="preserve"> </w:t>
      </w:r>
      <w:r>
        <w:rPr>
          <w:rStyle w:val="VerbatimChar"/>
        </w:rPr>
        <w:t xml:space="preserve">.ls</w:t>
      </w:r>
      <w:r>
        <w:t xml:space="preserve"> </w:t>
      </w:r>
      <w:r>
        <w:t xml:space="preserve">alternatives, a shorter and more conservative recruitment history. This means the advice process combines a fitted assessment model with a somewhat different projection model. That approach is defensible in annual advice, but it is exactly the kind of multi-stage complexity that MSE seeks to simplify and evaluate explicitly</w:t>
      </w:r>
      <w:r>
        <w:t xml:space="preserve"> </w:t>
      </w:r>
      <w:r>
        <w:t xml:space="preserve">(Punt et al., 2016; Siple et al., 2021)</w:t>
      </w:r>
      <w:r>
        <w:t xml:space="preserve">.</w:t>
      </w:r>
    </w:p>
    <w:bookmarkEnd w:id="19"/>
    <w:bookmarkEnd w:id="20"/>
    <w:bookmarkStart w:id="25" w:name="the-sc13-base-advice-models"/>
    <w:p>
      <w:pPr>
        <w:pStyle w:val="Heading1"/>
      </w:pPr>
      <w:r>
        <w:t xml:space="preserve">4. The SC13 Base Advice Models</w:t>
      </w:r>
    </w:p>
    <w:bookmarkStart w:id="21" w:name="single-stock-hypothesis-h1_1.14"/>
    <w:p>
      <w:pPr>
        <w:pStyle w:val="Heading2"/>
      </w:pPr>
      <w:r>
        <w:t xml:space="preserve">4.1 Single-Stock Hypothesis:</w:t>
      </w:r>
      <w:r>
        <w:t xml:space="preserve"> </w:t>
      </w:r>
      <w:r>
        <w:rPr>
          <w:rStyle w:val="VerbatimChar"/>
        </w:rPr>
        <w:t xml:space="preserve">h1_1.14</w:t>
      </w:r>
    </w:p>
    <w:p>
      <w:pPr>
        <w:pStyle w:val="FirstParagraph"/>
      </w:pPr>
      <w:r>
        <w:rPr>
          <w:b/>
          <w:bCs/>
        </w:rPr>
        <w:t xml:space="preserve">20.</w:t>
      </w:r>
      <w:r>
        <w:t xml:space="preserve"> </w:t>
      </w:r>
      <w:r>
        <w:t xml:space="preserve">The control file</w:t>
      </w:r>
      <w:r>
        <w:t xml:space="preserve"> </w:t>
      </w:r>
      <w:r>
        <w:rPr>
          <w:rStyle w:val="VerbatimChar"/>
        </w:rPr>
        <w:t xml:space="preserve">assessment/config/h1_1.14.ctl</w:t>
      </w:r>
      <w:r>
        <w:t xml:space="preserve"> </w:t>
      </w:r>
      <w:r>
        <w:t xml:space="preserve">defines the single-stock advice model. It specifies one stock, one recruitment regime, one maturity schedule, one population weight-at-age schedule, and a single natural mortality value of 0.28. The stock recruitment component uses steepness 0.65 and recruitment variability 0.6, with recruitment years 2000-2022 entering the stock recruitment specification.</w:t>
      </w:r>
    </w:p>
    <w:p>
      <w:pPr>
        <w:pStyle w:val="BodyText"/>
      </w:pPr>
      <w:r>
        <w:rPr>
          <w:b/>
          <w:bCs/>
        </w:rPr>
        <w:t xml:space="preserve">21.</w:t>
      </w:r>
      <w:r>
        <w:t xml:space="preserve"> </w:t>
      </w:r>
      <w:r>
        <w:t xml:space="preserve">From a structural point of view,</w:t>
      </w:r>
      <w:r>
        <w:t xml:space="preserve"> </w:t>
      </w:r>
      <w:r>
        <w:rPr>
          <w:rStyle w:val="VerbatimChar"/>
        </w:rPr>
        <w:t xml:space="preserve">h1_1.14</w:t>
      </w:r>
      <w:r>
        <w:t xml:space="preserve"> </w:t>
      </w:r>
      <w:r>
        <w:t xml:space="preserve">is the simpler of the two advice models. All fishery and survey information is interpreted as informing a common population. However, the model still retains considerable complexity because selectivity is allowed to vary over time and because the Far North fleet is represented with annual selectivity changes extending back to 1981. In effect, the single-stock hypothesis avoids stock splitting but compensates with a flexible fleet-history interpretation.</w:t>
      </w:r>
    </w:p>
    <w:p>
      <w:pPr>
        <w:pStyle w:val="BodyText"/>
      </w:pPr>
      <w:r>
        <w:rPr>
          <w:b/>
          <w:bCs/>
        </w:rPr>
        <w:t xml:space="preserve">22.</w:t>
      </w:r>
      <w:r>
        <w:t xml:space="preserve"> </w:t>
      </w:r>
      <w:r>
        <w:t xml:space="preserve">The fitted report file indicates that the model is strongly informed by composition and selectivity components. The total objective function reported in</w:t>
      </w:r>
      <w:r>
        <w:t xml:space="preserve"> </w:t>
      </w:r>
      <w:r>
        <w:rPr>
          <w:rStyle w:val="VerbatimChar"/>
        </w:rPr>
        <w:t xml:space="preserve">assessment/results/h1_1.14.rep</w:t>
      </w:r>
      <w:r>
        <w:t xml:space="preserve"> </w:t>
      </w:r>
      <w:r>
        <w:t xml:space="preserve">is 1323.82, with large contributions from fishery age likelihood, fishery length likelihood, fishery selectivity penalties, index likelihood, and survey age likelihood. This confirms that</w:t>
      </w:r>
      <w:r>
        <w:t xml:space="preserve"> </w:t>
      </w:r>
      <w:r>
        <w:rPr>
          <w:rStyle w:val="VerbatimChar"/>
        </w:rPr>
        <w:t xml:space="preserve">h1_1.14</w:t>
      </w:r>
      <w:r>
        <w:t xml:space="preserve"> </w:t>
      </w:r>
      <w:r>
        <w:t xml:space="preserve">should not be viewed as a simplified baseline in itself. It is already a sophisticated assessment model.</w:t>
      </w:r>
    </w:p>
    <w:bookmarkEnd w:id="21"/>
    <w:bookmarkStart w:id="22" w:name="two-stock-hypothesis-h2_1.14"/>
    <w:p>
      <w:pPr>
        <w:pStyle w:val="Heading2"/>
      </w:pPr>
      <w:r>
        <w:t xml:space="preserve">4.2 Two-Stock Hypothesis:</w:t>
      </w:r>
      <w:r>
        <w:t xml:space="preserve"> </w:t>
      </w:r>
      <w:r>
        <w:rPr>
          <w:rStyle w:val="VerbatimChar"/>
        </w:rPr>
        <w:t xml:space="preserve">h2_1.14</w:t>
      </w:r>
    </w:p>
    <w:p>
      <w:pPr>
        <w:pStyle w:val="FirstParagraph"/>
      </w:pPr>
      <w:r>
        <w:rPr>
          <w:b/>
          <w:bCs/>
        </w:rPr>
        <w:t xml:space="preserve">23.</w:t>
      </w:r>
      <w:r>
        <w:t xml:space="preserve"> </w:t>
      </w:r>
      <w:r>
        <w:t xml:space="preserve">The control file</w:t>
      </w:r>
      <w:r>
        <w:t xml:space="preserve"> </w:t>
      </w:r>
      <w:r>
        <w:rPr>
          <w:rStyle w:val="VerbatimChar"/>
        </w:rPr>
        <w:t xml:space="preserve">assessment/config/h2_1.14.ctl</w:t>
      </w:r>
      <w:r>
        <w:t xml:space="preserve"> </w:t>
      </w:r>
      <w:r>
        <w:t xml:space="preserve">defines the two-stock advice model. It specifies two stocks, a more complex recruitment assignment, stock-specific biology for the second stock, and different treatment of the Far North observations. In the terminology used in the annex, the two stocks correspond to a southern stock and a far north stock.</w:t>
      </w:r>
    </w:p>
    <w:p>
      <w:pPr>
        <w:pStyle w:val="BodyText"/>
      </w:pPr>
      <w:r>
        <w:rPr>
          <w:b/>
          <w:bCs/>
        </w:rPr>
        <w:t xml:space="preserve">24.</w:t>
      </w:r>
      <w:r>
        <w:t xml:space="preserve"> </w:t>
      </w:r>
      <w:r>
        <w:t xml:space="preserve">The most consequential structural difference lies in recruitment and biological assignment. The two-stock control file specifies</w:t>
      </w:r>
      <w:r>
        <w:t xml:space="preserve"> </w:t>
      </w:r>
      <w:r>
        <w:rPr>
          <w:rStyle w:val="VerbatimChar"/>
        </w:rPr>
        <w:t xml:space="preserve">nregbyStock = 1 2</w:t>
      </w:r>
      <w:r>
        <w:t xml:space="preserve">,</w:t>
      </w:r>
      <w:r>
        <w:t xml:space="preserve"> </w:t>
      </w:r>
      <w:r>
        <w:rPr>
          <w:rStyle w:val="VerbatimChar"/>
        </w:rPr>
        <w:t xml:space="preserve">RecMatrix = 1 2 3</w:t>
      </w:r>
      <w:r>
        <w:t xml:space="preserve">, and</w:t>
      </w:r>
      <w:r>
        <w:t xml:space="preserve"> </w:t>
      </w:r>
      <w:r>
        <w:rPr>
          <w:rStyle w:val="VerbatimChar"/>
        </w:rPr>
        <w:t xml:space="preserve">RegShift = 1999</w:t>
      </w:r>
      <w:r>
        <w:t xml:space="preserve">. In practical terms, this means that the northern component is not represented simply as a second stock with otherwise identical rules. It is represented with a different recruitment structure that includes a regime shift. The recruitment year blocks in the file are 2000-2022, 1970-1996, and 2001-2016 for the three recruitment assignments. The model also assigns a higher natural mortality value to the second stock (0.33), along with a separate maturity schedule and separate population weight-at-age schedule.</w:t>
      </w:r>
    </w:p>
    <w:p>
      <w:pPr>
        <w:pStyle w:val="BodyText"/>
      </w:pPr>
      <w:r>
        <w:rPr>
          <w:b/>
          <w:bCs/>
        </w:rPr>
        <w:t xml:space="preserve">25.</w:t>
      </w:r>
      <w:r>
        <w:t xml:space="preserve"> </w:t>
      </w:r>
      <w:r>
        <w:t xml:space="preserve">The treatment of the Far North fleet also changes substantially under</w:t>
      </w:r>
      <w:r>
        <w:t xml:space="preserve"> </w:t>
      </w:r>
      <w:r>
        <w:rPr>
          <w:rStyle w:val="VerbatimChar"/>
        </w:rPr>
        <w:t xml:space="preserve">h2_1.14</w:t>
      </w:r>
      <w:r>
        <w:t xml:space="preserve">. Whereas</w:t>
      </w:r>
      <w:r>
        <w:t xml:space="preserve"> </w:t>
      </w:r>
      <w:r>
        <w:rPr>
          <w:rStyle w:val="VerbatimChar"/>
        </w:rPr>
        <w:t xml:space="preserve">h1_1.14</w:t>
      </w:r>
      <w:r>
        <w:t xml:space="preserve"> </w:t>
      </w:r>
      <w:r>
        <w:t xml:space="preserve">allows a long annual history of selectivity variation for the Far North fleet,</w:t>
      </w:r>
      <w:r>
        <w:t xml:space="preserve"> </w:t>
      </w:r>
      <w:r>
        <w:rPr>
          <w:rStyle w:val="VerbatimChar"/>
        </w:rPr>
        <w:t xml:space="preserve">h2_1.14</w:t>
      </w:r>
      <w:r>
        <w:t xml:space="preserve"> </w:t>
      </w:r>
      <w:r>
        <w:t xml:space="preserve">uses a much simpler regime treatment centered on 2002. This is an important point for later MSE development because the difference between</w:t>
      </w:r>
      <w:r>
        <w:t xml:space="preserve"> </w:t>
      </w:r>
      <w:r>
        <w:rPr>
          <w:rStyle w:val="VerbatimChar"/>
        </w:rPr>
        <w:t xml:space="preserve">h1</w:t>
      </w:r>
      <w:r>
        <w:t xml:space="preserve"> </w:t>
      </w:r>
      <w:r>
        <w:t xml:space="preserve">and</w:t>
      </w:r>
      <w:r>
        <w:t xml:space="preserve"> </w:t>
      </w:r>
      <w:r>
        <w:rPr>
          <w:rStyle w:val="VerbatimChar"/>
        </w:rPr>
        <w:t xml:space="preserve">h2</w:t>
      </w:r>
      <w:r>
        <w:t xml:space="preserve"> </w:t>
      </w:r>
      <w:r>
        <w:t xml:space="preserve">is not purely a question of stock structure. It is partly a difference in how northern observations are interpreted and regularized.</w:t>
      </w:r>
    </w:p>
    <w:p>
      <w:pPr>
        <w:pStyle w:val="BodyText"/>
      </w:pPr>
      <w:r>
        <w:rPr>
          <w:b/>
          <w:bCs/>
        </w:rPr>
        <w:t xml:space="preserve">26.</w:t>
      </w:r>
      <w:r>
        <w:t xml:space="preserve"> </w:t>
      </w:r>
      <w:r>
        <w:t xml:space="preserve">The fitted report file for</w:t>
      </w:r>
      <w:r>
        <w:t xml:space="preserve"> </w:t>
      </w:r>
      <w:r>
        <w:rPr>
          <w:rStyle w:val="VerbatimChar"/>
        </w:rPr>
        <w:t xml:space="preserve">h2_1.14</w:t>
      </w:r>
      <w:r>
        <w:t xml:space="preserve"> </w:t>
      </w:r>
      <w:r>
        <w:t xml:space="preserve">indicates a total objective function of 1194.09. As with the single-stock model, substantial contributions arise from fishery age, fishery length, selectivity penalties, and abundance indices. The lower total objective function relative to</w:t>
      </w:r>
      <w:r>
        <w:t xml:space="preserve"> </w:t>
      </w:r>
      <w:r>
        <w:rPr>
          <w:rStyle w:val="VerbatimChar"/>
        </w:rPr>
        <w:t xml:space="preserve">h1_1.14</w:t>
      </w:r>
      <w:r>
        <w:t xml:space="preserve"> </w:t>
      </w:r>
      <w:r>
        <w:t xml:space="preserve">does not by itself establish superiority, but it does confirm that the two-stock hypothesis is a comparably rich fitted model rather than a stripped-down alternative.</w:t>
      </w:r>
    </w:p>
    <w:bookmarkEnd w:id="22"/>
    <w:bookmarkStart w:id="24" w:name="summary-comparison"/>
    <w:p>
      <w:pPr>
        <w:pStyle w:val="Heading2"/>
      </w:pPr>
      <w:r>
        <w:t xml:space="preserve">4.3 Summary Comparison</w:t>
      </w:r>
    </w:p>
    <w:p>
      <w:pPr>
        <w:pStyle w:val="FirstParagraph"/>
      </w:pPr>
      <w:r>
        <w:rPr>
          <w:b/>
          <w:bCs/>
        </w:rPr>
        <w:t xml:space="preserve">27.</w:t>
      </w:r>
      <w:r>
        <w:t xml:space="preserve"> </w:t>
      </w:r>
      <w:r>
        <w:t xml:space="preserve">The main structural differences between the two SC13 advice models are summarized in</w:t>
      </w:r>
      <w:r>
        <w:t xml:space="preserve"> </w:t>
      </w:r>
      <w:hyperlink w:anchor="tbl-sc13-model-summary">
        <w:r>
          <w:rPr>
            <w:rStyle w:val="Hyperlink"/>
          </w:rPr>
          <w:t xml:space="preserve">Table 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23" w:name="tbl-sc13-model-summary"/>
          <w:p>
            <w:pPr>
              <w:jc w:val="center"/>
            </w:pPr>
            <w:pPr>
              <w:jc w:val="left"/>
              <w:spacing w:before="200"/>
              <w:pStyle w:val="ImageCaption"/>
            </w:pPr>
            <w:r>
              <w:t xml:space="preserve">Table 1: Main structural differences between the SC13 single-stock advice model (</w:t>
            </w:r>
            <w:r>
              <w:rPr>
                <w:rStyle w:val="VerbatimChar"/>
              </w:rPr>
              <w:t xml:space="preserve">h1_1.14</w:t>
            </w:r>
            <w:r>
              <w:t xml:space="preserve">) and two-stock advice model (</w:t>
            </w:r>
            <w:r>
              <w:rPr>
                <w:rStyle w:val="VerbatimChar"/>
              </w:rPr>
              <w:t xml:space="preserve">h2_1.14</w:t>
            </w:r>
            <w:r>
              <w:t xml:space="preserve">).</w:t>
            </w:r>
          </w:p>
          <w:tbl>
            <w:tblPr>
              <w:tblStyle w:val="Table"/>
              <w:tblW w:type="pct" w:w="5000"/>
              <w:tblLayout w:type="fixed"/>
              <w:tblLook w:firstRow="1" w:lastRow="0" w:firstColumn="0" w:lastColumn="0" w:noHBand="0" w:noVBand="0" w:val="0020"/>
            </w:tblPr>
            <w:tblGrid>
              <w:gridCol w:w="2020"/>
              <w:gridCol w:w="2262"/>
              <w:gridCol w:w="3636"/>
            </w:tblGrid>
            <w:tr>
              <w:trPr>
                <w:tblHeader w:val="on"/>
              </w:trPr>
              <w:tc>
                <w:tcPr/>
                <w:p>
                  <w:pPr>
                    <w:pStyle w:val="Compact"/>
                    <w:jc w:val="left"/>
                    <w:jc w:val="center"/>
                  </w:pPr>
                  <w:r>
                    <w:t xml:space="preserve">Feature</w:t>
                  </w:r>
                </w:p>
              </w:tc>
              <w:tc>
                <w:tcPr/>
                <w:p>
                  <w:pPr>
                    <w:pStyle w:val="Compact"/>
                    <w:jc w:val="left"/>
                    <w:jc w:val="center"/>
                  </w:pPr>
                  <w:r>
                    <w:t xml:space="preserve">h1_1.14</w:t>
                  </w:r>
                </w:p>
              </w:tc>
              <w:tc>
                <w:tcPr/>
                <w:p>
                  <w:pPr>
                    <w:pStyle w:val="Compact"/>
                    <w:jc w:val="left"/>
                    <w:jc w:val="center"/>
                  </w:pPr>
                  <w:r>
                    <w:t xml:space="preserve">h2_1.14</w:t>
                  </w:r>
                </w:p>
              </w:tc>
            </w:tr>
            <w:tr>
              <w:tc>
                <w:tcPr/>
                <w:p>
                  <w:pPr>
                    <w:pStyle w:val="Compact"/>
                    <w:jc w:val="left"/>
                    <w:jc w:val="center"/>
                  </w:pPr>
                  <w:r>
                    <w:t xml:space="preserve">Stock hypothesis</w:t>
                  </w:r>
                </w:p>
              </w:tc>
              <w:tc>
                <w:tcPr/>
                <w:p>
                  <w:pPr>
                    <w:pStyle w:val="Compact"/>
                    <w:jc w:val="left"/>
                    <w:jc w:val="center"/>
                  </w:pPr>
                  <w:r>
                    <w:t xml:space="preserve">Single shared stock</w:t>
                  </w:r>
                </w:p>
              </w:tc>
              <w:tc>
                <w:tcPr/>
                <w:p>
                  <w:pPr>
                    <w:pStyle w:val="Compact"/>
                    <w:jc w:val="left"/>
                    <w:jc w:val="center"/>
                  </w:pPr>
                  <w:r>
                    <w:t xml:space="preserve">Southern stock plus far north stock</w:t>
                  </w:r>
                </w:p>
              </w:tc>
            </w:tr>
            <w:tr>
              <w:tc>
                <w:tcPr/>
                <w:p>
                  <w:pPr>
                    <w:pStyle w:val="Compact"/>
                    <w:jc w:val="left"/>
                    <w:jc w:val="center"/>
                  </w:pPr>
                  <w:r>
                    <w:t xml:space="preserve">Number of modeled stocks</w:t>
                  </w:r>
                </w:p>
              </w:tc>
              <w:tc>
                <w:tcPr/>
                <w:p>
                  <w:pPr>
                    <w:pStyle w:val="Compact"/>
                    <w:jc w:val="left"/>
                    <w:jc w:val="center"/>
                  </w:pPr>
                  <w:r>
                    <w:t xml:space="preserve">1</w:t>
                  </w:r>
                </w:p>
              </w:tc>
              <w:tc>
                <w:tcPr/>
                <w:p>
                  <w:pPr>
                    <w:pStyle w:val="Compact"/>
                    <w:jc w:val="left"/>
                    <w:jc w:val="center"/>
                  </w:pPr>
                  <w:r>
                    <w:t xml:space="preserve">2</w:t>
                  </w:r>
                </w:p>
              </w:tc>
            </w:tr>
            <w:tr>
              <w:tc>
                <w:tcPr/>
                <w:p>
                  <w:pPr>
                    <w:pStyle w:val="Compact"/>
                    <w:jc w:val="left"/>
                    <w:jc w:val="center"/>
                  </w:pPr>
                  <w:r>
                    <w:t xml:space="preserve">Data file</w:t>
                  </w:r>
                </w:p>
              </w:tc>
              <w:tc>
                <w:tcPr/>
                <w:p>
                  <w:pPr>
                    <w:pStyle w:val="Compact"/>
                    <w:jc w:val="left"/>
                    <w:jc w:val="center"/>
                  </w:pPr>
                  <w:r>
                    <w:rPr>
                      <w:rStyle w:val="VerbatimChar"/>
                    </w:rPr>
                    <w:t xml:space="preserve">assessment/input/1.14.dat</w:t>
                  </w:r>
                </w:p>
              </w:tc>
              <w:tc>
                <w:tcPr/>
                <w:p>
                  <w:pPr>
                    <w:pStyle w:val="Compact"/>
                    <w:jc w:val="left"/>
                    <w:jc w:val="center"/>
                  </w:pPr>
                  <w:r>
                    <w:rPr>
                      <w:rStyle w:val="VerbatimChar"/>
                    </w:rPr>
                    <w:t xml:space="preserve">assessment/input/1.14.dat</w:t>
                  </w:r>
                </w:p>
              </w:tc>
            </w:tr>
            <w:tr>
              <w:tc>
                <w:tcPr/>
                <w:p>
                  <w:pPr>
                    <w:pStyle w:val="Compact"/>
                    <w:jc w:val="left"/>
                    <w:jc w:val="center"/>
                  </w:pPr>
                  <w:r>
                    <w:t xml:space="preserve">Natural mortality</w:t>
                  </w:r>
                </w:p>
              </w:tc>
              <w:tc>
                <w:tcPr/>
                <w:p>
                  <w:pPr>
                    <w:pStyle w:val="Compact"/>
                    <w:jc w:val="left"/>
                    <w:jc w:val="center"/>
                  </w:pPr>
                  <w:r>
                    <w:t xml:space="preserve">0.28</w:t>
                  </w:r>
                </w:p>
              </w:tc>
              <w:tc>
                <w:tcPr/>
                <w:p>
                  <w:pPr>
                    <w:pStyle w:val="Compact"/>
                    <w:jc w:val="left"/>
                    <w:jc w:val="center"/>
                  </w:pPr>
                  <w:r>
                    <w:t xml:space="preserve">0.28 and 0.33</w:t>
                  </w:r>
                </w:p>
              </w:tc>
            </w:tr>
            <w:tr>
              <w:tc>
                <w:tcPr/>
                <w:p>
                  <w:pPr>
                    <w:pStyle w:val="Compact"/>
                    <w:jc w:val="left"/>
                    <w:jc w:val="center"/>
                  </w:pPr>
                  <w:r>
                    <w:t xml:space="preserve">Maturity schedule</w:t>
                  </w:r>
                </w:p>
              </w:tc>
              <w:tc>
                <w:tcPr/>
                <w:p>
                  <w:pPr>
                    <w:pStyle w:val="Compact"/>
                    <w:jc w:val="left"/>
                    <w:jc w:val="center"/>
                  </w:pPr>
                  <w:r>
                    <w:t xml:space="preserve">One schedule</w:t>
                  </w:r>
                </w:p>
              </w:tc>
              <w:tc>
                <w:tcPr/>
                <w:p>
                  <w:pPr>
                    <w:pStyle w:val="Compact"/>
                    <w:jc w:val="left"/>
                    <w:jc w:val="center"/>
                  </w:pPr>
                  <w:r>
                    <w:t xml:space="preserve">Stock-specific schedules</w:t>
                  </w:r>
                </w:p>
              </w:tc>
            </w:tr>
            <w:tr>
              <w:tc>
                <w:tcPr/>
                <w:p>
                  <w:pPr>
                    <w:pStyle w:val="Compact"/>
                    <w:jc w:val="left"/>
                    <w:jc w:val="center"/>
                  </w:pPr>
                  <w:r>
                    <w:t xml:space="preserve">Population weight-at-age</w:t>
                  </w:r>
                </w:p>
              </w:tc>
              <w:tc>
                <w:tcPr/>
                <w:p>
                  <w:pPr>
                    <w:pStyle w:val="Compact"/>
                    <w:jc w:val="left"/>
                    <w:jc w:val="center"/>
                  </w:pPr>
                  <w:r>
                    <w:t xml:space="preserve">One schedule</w:t>
                  </w:r>
                </w:p>
              </w:tc>
              <w:tc>
                <w:tcPr/>
                <w:p>
                  <w:pPr>
                    <w:pStyle w:val="Compact"/>
                    <w:jc w:val="left"/>
                    <w:jc w:val="center"/>
                  </w:pPr>
                  <w:r>
                    <w:t xml:space="preserve">Stock-specific schedules</w:t>
                  </w:r>
                </w:p>
              </w:tc>
            </w:tr>
            <w:tr>
              <w:tc>
                <w:tcPr/>
                <w:p>
                  <w:pPr>
                    <w:pStyle w:val="Compact"/>
                    <w:jc w:val="left"/>
                    <w:jc w:val="center"/>
                  </w:pPr>
                  <w:r>
                    <w:t xml:space="preserve">Recruitment structure</w:t>
                  </w:r>
                </w:p>
              </w:tc>
              <w:tc>
                <w:tcPr/>
                <w:p>
                  <w:pPr>
                    <w:pStyle w:val="Compact"/>
                    <w:jc w:val="left"/>
                    <w:jc w:val="center"/>
                  </w:pPr>
                  <w:r>
                    <w:t xml:space="preserve">One curve, 2000-2022</w:t>
                  </w:r>
                </w:p>
              </w:tc>
              <w:tc>
                <w:tcPr/>
                <w:p>
                  <w:pPr>
                    <w:pStyle w:val="Compact"/>
                    <w:jc w:val="left"/>
                    <w:jc w:val="center"/>
                  </w:pPr>
                  <w:r>
                    <w:t xml:space="preserve">Three assignments with a 1999 regime shift</w:t>
                  </w:r>
                </w:p>
              </w:tc>
            </w:tr>
            <w:tr>
              <w:tc>
                <w:tcPr/>
                <w:p>
                  <w:pPr>
                    <w:pStyle w:val="Compact"/>
                    <w:jc w:val="left"/>
                    <w:jc w:val="center"/>
                  </w:pPr>
                  <w:r>
                    <w:t xml:space="preserve">Far North selectivity</w:t>
                  </w:r>
                </w:p>
              </w:tc>
              <w:tc>
                <w:tcPr/>
                <w:p>
                  <w:pPr>
                    <w:pStyle w:val="Compact"/>
                    <w:jc w:val="left"/>
                    <w:jc w:val="center"/>
                  </w:pPr>
                  <w:r>
                    <w:t xml:space="preserve">Annual variation from 1981</w:t>
                  </w:r>
                </w:p>
              </w:tc>
              <w:tc>
                <w:tcPr/>
                <w:p>
                  <w:pPr>
                    <w:pStyle w:val="Compact"/>
                    <w:jc w:val="left"/>
                    <w:jc w:val="center"/>
                  </w:pPr>
                  <w:r>
                    <w:t xml:space="preserve">Simplified regime treatment centered on 2002</w:t>
                  </w:r>
                </w:p>
              </w:tc>
            </w:tr>
            <w:tr>
              <w:tc>
                <w:tcPr/>
                <w:p>
                  <w:pPr>
                    <w:pStyle w:val="Compact"/>
                    <w:jc w:val="left"/>
                    <w:jc w:val="center"/>
                  </w:pPr>
                  <w:r>
                    <w:t xml:space="preserve">Projection horizon</w:t>
                  </w:r>
                </w:p>
              </w:tc>
              <w:tc>
                <w:tcPr/>
                <w:p>
                  <w:pPr>
                    <w:pStyle w:val="Compact"/>
                    <w:jc w:val="left"/>
                    <w:jc w:val="center"/>
                  </w:pPr>
                  <w:r>
                    <w:t xml:space="preserve">20 years</w:t>
                  </w:r>
                </w:p>
              </w:tc>
              <w:tc>
                <w:tcPr/>
                <w:p>
                  <w:pPr>
                    <w:pStyle w:val="Compact"/>
                    <w:jc w:val="left"/>
                    <w:jc w:val="center"/>
                  </w:pPr>
                  <w:r>
                    <w:t xml:space="preserve">20 years</w:t>
                  </w:r>
                </w:p>
              </w:tc>
            </w:tr>
          </w:tbl>
          <w:bookmarkEnd w:id="23"/>
          <w:p/>
        </w:tc>
      </w:tr>
    </w:tbl>
    <w:p>
      <w:pPr>
        <w:pStyle w:val="BodyText"/>
      </w:pPr>
      <w:r>
        <w:rPr>
          <w:b/>
          <w:bCs/>
        </w:rPr>
        <w:t xml:space="preserve">28.</w:t>
      </w:r>
      <w:r>
        <w:t xml:space="preserve"> </w:t>
      </w:r>
      <w:r>
        <w:t xml:space="preserve">The commonality between the two models is therefore greater than their difference in terms of data inputs and overall assessment machinery. The key differences lie in stock allocation, biology, recruitment structure, and the degree of complexity assigned to the northern part of the system.</w:t>
      </w:r>
    </w:p>
    <w:bookmarkEnd w:id="24"/>
    <w:bookmarkEnd w:id="25"/>
    <w:bookmarkStart w:id="26" w:name="base-model-considerations"/>
    <w:p>
      <w:pPr>
        <w:pStyle w:val="Heading1"/>
      </w:pPr>
      <w:r>
        <w:t xml:space="preserve">5. Base model considerations</w:t>
      </w:r>
    </w:p>
    <w:p>
      <w:pPr>
        <w:pStyle w:val="FirstParagraph"/>
      </w:pPr>
      <w:r>
        <w:rPr>
          <w:b/>
          <w:bCs/>
        </w:rPr>
        <w:t xml:space="preserve">29.</w:t>
      </w:r>
      <w:r>
        <w:t xml:space="preserve"> </w:t>
      </w:r>
      <w:r>
        <w:t xml:space="preserve">The July 2025 MSE workshop concluded that the base assessment should probably</w:t>
      </w:r>
      <w:r>
        <w:t xml:space="preserve"> </w:t>
      </w:r>
      <w:r>
        <w:t xml:space="preserve">be more clearly documented and then perhaps simplified for use as an</w:t>
      </w:r>
      <w:r>
        <w:t xml:space="preserve"> </w:t>
      </w:r>
      <w:r>
        <w:t xml:space="preserve">MSE operating model.</w:t>
      </w:r>
    </w:p>
    <w:p>
      <w:pPr>
        <w:pStyle w:val="BodyText"/>
      </w:pPr>
      <w:r>
        <w:rPr>
          <w:b/>
          <w:bCs/>
        </w:rPr>
        <w:t xml:space="preserve">30.</w:t>
      </w:r>
      <w:r>
        <w:t xml:space="preserve"> </w:t>
      </w:r>
      <w:r>
        <w:t xml:space="preserve">The SC13 base model uses extensive time-varying selectivity. This practice continued</w:t>
      </w:r>
      <w:r>
        <w:t xml:space="preserve"> </w:t>
      </w:r>
      <w:r>
        <w:t xml:space="preserve">in the 2025 assessment to improve fits for the south-central Chile and offshore fleets.</w:t>
      </w:r>
      <w:r>
        <w:t xml:space="preserve"> </w:t>
      </w:r>
      <w:r>
        <w:t xml:space="preserve">Time-varying selectivity may be necessary in annual assessments, but it can make MSE</w:t>
      </w:r>
      <w:r>
        <w:t xml:space="preserve"> </w:t>
      </w:r>
      <w:r>
        <w:t xml:space="preserve">results difficult to interpret because changes in management performance may reflect</w:t>
      </w:r>
      <w:r>
        <w:t xml:space="preserve"> </w:t>
      </w:r>
      <w:r>
        <w:t xml:space="preserve">selectivity specification as much as underlying stock dynamics</w:t>
      </w:r>
      <w:r>
        <w:t xml:space="preserve"> </w:t>
      </w:r>
      <w:r>
        <w:t xml:space="preserve">(Linton &amp; Bence, 2011)</w:t>
      </w:r>
      <w:r>
        <w:t xml:space="preserve">.</w:t>
      </w:r>
    </w:p>
    <w:p>
      <w:pPr>
        <w:pStyle w:val="BodyText"/>
      </w:pPr>
      <w:r>
        <w:rPr>
          <w:b/>
          <w:bCs/>
        </w:rPr>
        <w:t xml:space="preserve">31.</w:t>
      </w:r>
      <w:r>
        <w:t xml:space="preserve"> </w:t>
      </w:r>
      <w:r>
        <w:t xml:space="preserve">In the base model the reference points are dynamic.</w:t>
      </w:r>
      <w:r>
        <w:t xml:space="preserve"> </w:t>
      </w:r>
      <m:oMath>
        <m:sSub>
          <m:e>
            <m:r>
              <m:t>B</m:t>
            </m:r>
          </m:e>
          <m:sub>
            <m:r>
              <m:t>M</m:t>
            </m:r>
            <m:r>
              <m:t>S</m:t>
            </m:r>
            <m:r>
              <m:t>Y</m:t>
            </m:r>
          </m:sub>
        </m:sSub>
      </m:oMath>
      <w:r>
        <w:t xml:space="preserve"> </w:t>
      </w:r>
      <w:r>
        <w:t xml:space="preserve">and</w:t>
      </w:r>
      <w:r>
        <w:t xml:space="preserve"> </w:t>
      </w:r>
      <m:oMath>
        <m:sSub>
          <m:e>
            <m:r>
              <m:t>F</m:t>
            </m:r>
          </m:e>
          <m:sub>
            <m:r>
              <m:t>M</m:t>
            </m:r>
            <m:r>
              <m:t>S</m:t>
            </m:r>
            <m:r>
              <m:t>Y</m:t>
            </m:r>
          </m:sub>
        </m:sSub>
      </m:oMath>
      <w:r>
        <w:t xml:space="preserve"> </w:t>
      </w:r>
      <w:r>
        <w:t xml:space="preserve">typically</w:t>
      </w:r>
      <w:r>
        <w:t xml:space="preserve"> </w:t>
      </w:r>
      <w:r>
        <w:t xml:space="preserve">depend on terminal-year conditions, especially relative catch shares,</w:t>
      </w:r>
      <w:r>
        <w:t xml:space="preserve"> </w:t>
      </w:r>
      <w:r>
        <w:t xml:space="preserve">selectivity-at-age, and weights-at-age.</w:t>
      </w:r>
      <w:r>
        <w:t xml:space="preserve"> </w:t>
      </w:r>
      <w:r>
        <w:t xml:space="preserve">This makes stock status and advice partly conditional on the most recent fitted</w:t>
      </w:r>
      <w:r>
        <w:t xml:space="preserve"> </w:t>
      </w:r>
      <w:r>
        <w:t xml:space="preserve">model state rather than solely on a stable management benchmark.</w:t>
      </w:r>
      <w:r>
        <w:t xml:space="preserve"> </w:t>
      </w:r>
      <w:r>
        <w:t xml:space="preserve">The appropriateness of this as an assessment choice was raised over several meetings and discussions</w:t>
      </w:r>
      <w:r>
        <w:t xml:space="preserve"> </w:t>
      </w:r>
      <w:r>
        <w:t xml:space="preserve">as it complicates the OM design because the benchmark itself changes with the assessment outcome.</w:t>
      </w:r>
    </w:p>
    <w:p>
      <w:pPr>
        <w:pStyle w:val="BodyText"/>
      </w:pPr>
      <w:r>
        <w:rPr>
          <w:b/>
          <w:bCs/>
        </w:rPr>
        <w:t xml:space="preserve">32.</w:t>
      </w:r>
      <w:r>
        <w:t xml:space="preserve"> </w:t>
      </w:r>
      <w:r>
        <w:t xml:space="preserve">Similarly, the projection assumptions differ from the fitting assumptions. The projection scripts</w:t>
      </w:r>
      <w:r>
        <w:t xml:space="preserve"> </w:t>
      </w:r>
      <w:r>
        <w:t xml:space="preserve">show that future calculations rely on fixed selectivity and, in some scenarios, a</w:t>
      </w:r>
      <w:r>
        <w:t xml:space="preserve"> </w:t>
      </w:r>
      <w:r>
        <w:t xml:space="preserve">shortened low-productivity recruitment history. This means that advice is generated</w:t>
      </w:r>
      <w:r>
        <w:t xml:space="preserve"> </w:t>
      </w:r>
      <w:r>
        <w:t xml:space="preserve">from a model in which the fitting phase and the projection phase are intentionally</w:t>
      </w:r>
      <w:r>
        <w:t xml:space="preserve"> </w:t>
      </w:r>
      <w:r>
        <w:t xml:space="preserve">different. In MSE, that layering needs to be explicit and deliberate rather than</w:t>
      </w:r>
      <w:r>
        <w:t xml:space="preserve"> </w:t>
      </w:r>
      <w:r>
        <w:t xml:space="preserve">inherited as an assessment convention</w:t>
      </w:r>
      <w:r>
        <w:t xml:space="preserve"> </w:t>
      </w:r>
      <w:r>
        <w:t xml:space="preserve">(Punt et al., 2016; Siple et al., 2021)</w:t>
      </w:r>
      <w:r>
        <w:t xml:space="preserve">.</w:t>
      </w:r>
    </w:p>
    <w:p>
      <w:pPr>
        <w:pStyle w:val="BodyText"/>
      </w:pPr>
      <w:r>
        <w:rPr>
          <w:b/>
          <w:bCs/>
        </w:rPr>
        <w:t xml:space="preserve">33.</w:t>
      </w:r>
      <w:r>
        <w:t xml:space="preserve"> </w:t>
      </w:r>
      <w:r>
        <w:t xml:space="preserve">Additionally stock-structure uncertainty is mixed in with other differences.</w:t>
      </w:r>
      <w:r>
        <w:t xml:space="preserve"> </w:t>
      </w:r>
      <w:r>
        <w:t xml:space="preserve">The contrast between</w:t>
      </w:r>
      <w:r>
        <w:t xml:space="preserve"> </w:t>
      </w:r>
      <w:r>
        <w:rPr>
          <w:rStyle w:val="VerbatimChar"/>
        </w:rPr>
        <w:t xml:space="preserve">h1_1.14</w:t>
      </w:r>
      <w:r>
        <w:t xml:space="preserve"> </w:t>
      </w:r>
      <w:r>
        <w:t xml:space="preserve">and</w:t>
      </w:r>
      <w:r>
        <w:t xml:space="preserve"> </w:t>
      </w:r>
      <w:r>
        <w:rPr>
          <w:rStyle w:val="VerbatimChar"/>
        </w:rPr>
        <w:t xml:space="preserve">h2_1.14</w:t>
      </w:r>
      <w:r>
        <w:t xml:space="preserve"> </w:t>
      </w:r>
      <w:r>
        <w:t xml:space="preserve">is more than one stock versus two</w:t>
      </w:r>
      <w:r>
        <w:t xml:space="preserve"> </w:t>
      </w:r>
      <w:r>
        <w:t xml:space="preserve">stocks as an issue.</w:t>
      </w:r>
      <w:r>
        <w:t xml:space="preserve"> </w:t>
      </w:r>
      <w:r>
        <w:t xml:space="preserve">The northern selectivity structure, different mortality, different maturity, different</w:t>
      </w:r>
      <w:r>
        <w:t xml:space="preserve"> </w:t>
      </w:r>
      <w:r>
        <w:t xml:space="preserve">population weight-at-age, and different recruitment regime treatment affect things between the</w:t>
      </w:r>
      <w:r>
        <w:t xml:space="preserve"> </w:t>
      </w:r>
      <w:r>
        <w:t xml:space="preserve">model configurations. For MSE, it will be helpful to separate uncertainty about stock structure</w:t>
      </w:r>
      <w:r>
        <w:t xml:space="preserve"> </w:t>
      </w:r>
      <w:r>
        <w:t xml:space="preserve">from uncertainty about how model complexity has been allocated within each hypothesis.</w:t>
      </w:r>
    </w:p>
    <w:bookmarkEnd w:id="26"/>
    <w:bookmarkStart w:id="151" w:name="proposed-simplified-alternatives"/>
    <w:p>
      <w:pPr>
        <w:pStyle w:val="Heading1"/>
      </w:pPr>
      <w:r>
        <w:t xml:space="preserve">6. Proposed Simplified Alternatives</w:t>
      </w:r>
    </w:p>
    <w:p>
      <w:pPr>
        <w:pStyle w:val="FirstParagraph"/>
      </w:pPr>
      <w:r>
        <w:rPr>
          <w:b/>
          <w:bCs/>
        </w:rPr>
        <w:t xml:space="preserve">34.</w:t>
      </w:r>
      <w:r>
        <w:t xml:space="preserve"> </w:t>
      </w:r>
      <w:r>
        <w:t xml:space="preserve">The SC13 base model should be treated as the reference assessment formulation. Simplified alternatives should therefore be judged by how much of the essential behavior of the base model they retain while removing structural complexity that is not needed for MSE.</w:t>
      </w:r>
    </w:p>
    <w:p>
      <w:pPr>
        <w:pStyle w:val="BodyText"/>
      </w:pPr>
      <w:r>
        <w:rPr>
          <w:b/>
          <w:bCs/>
        </w:rPr>
        <w:t xml:space="preserve">35.</w:t>
      </w:r>
      <w:r>
        <w:t xml:space="preserve"> </w:t>
      </w:r>
      <w:r>
        <w:t xml:space="preserve">A practical first working set of alternatives is summarized in</w:t>
      </w:r>
      <w:r>
        <w:t xml:space="preserve"> </w:t>
      </w:r>
      <w:hyperlink w:anchor="tbl-simplified-model-summary">
        <w:r>
          <w:rPr>
            <w:rStyle w:val="Hyperlink"/>
          </w:rPr>
          <w:t xml:space="preserve">Table 2</w:t>
        </w:r>
      </w:hyperlink>
      <w:r>
        <w:t xml:space="preserve">. The table highlights how each variant differs from its relevant</w:t>
      </w:r>
      <w:r>
        <w:t xml:space="preserve"> </w:t>
      </w:r>
      <w:r>
        <w:rPr>
          <w:rStyle w:val="VerbatimChar"/>
        </w:rPr>
        <w:t xml:space="preserve">1.14</w:t>
      </w:r>
      <w:r>
        <w:t xml:space="preserve"> </w:t>
      </w:r>
      <w:r>
        <w:t xml:space="preserve">assessment counterpart in data treatment, selectivity treatment, and intended purpose.</w:t>
      </w:r>
    </w:p>
    <w:tbl>
      <w:tblPr>
        <w:tblStyle w:val="Table"/>
        <w:tblW w:type="pct" w:w="5000"/>
        <w:tblLayout w:type="fixed"/>
        <w:tblLook w:firstRow="0" w:lastRow="0" w:firstColumn="0" w:lastColumn="0" w:noHBand="0" w:noVBand="0" w:val="0000"/>
      </w:tblPr>
      <w:tblGrid>
        <w:gridCol w:w="7920"/>
      </w:tblGrid>
      <w:tr>
        <w:tc>
          <w:tcPr/>
          <w:bookmarkStart w:id="27" w:name="tbl-simplified-model-summary"/>
          <w:p>
            <w:pPr>
              <w:jc w:val="center"/>
            </w:pPr>
            <w:pPr>
              <w:jc w:val="left"/>
              <w:spacing w:before="200"/>
              <w:pStyle w:val="ImageCaption"/>
            </w:pPr>
            <w:r>
              <w:t xml:space="preserve">Table 2: Summary of the simplified model variants discussed in Section 6.</w:t>
            </w:r>
          </w:p>
          <w:tbl>
            <w:tblPr>
              <w:tblStyle w:val="Table"/>
              <w:tblW w:type="pct" w:w="5000"/>
              <w:tblLayout w:type="fixed"/>
              <w:tblLook w:firstRow="1" w:lastRow="0" w:firstColumn="0" w:lastColumn="0" w:noHBand="0" w:noVBand="0" w:val="0020"/>
            </w:tblPr>
            <w:tblGrid>
              <w:gridCol w:w="183"/>
              <w:gridCol w:w="293"/>
              <w:gridCol w:w="293"/>
              <w:gridCol w:w="2090"/>
              <w:gridCol w:w="2786"/>
              <w:gridCol w:w="2273"/>
            </w:tblGrid>
            <w:tr>
              <w:trPr>
                <w:tblHeader w:val="on"/>
              </w:trPr>
              <w:tc>
                <w:tcPr/>
                <w:p>
                  <w:pPr>
                    <w:pStyle w:val="Compact"/>
                    <w:jc w:val="left"/>
                    <w:jc w:val="center"/>
                  </w:pPr>
                  <w:r>
                    <w:t xml:space="preserve">Model</w:t>
                  </w:r>
                </w:p>
              </w:tc>
              <w:tc>
                <w:tcPr/>
                <w:p>
                  <w:pPr>
                    <w:pStyle w:val="Compact"/>
                    <w:jc w:val="left"/>
                    <w:jc w:val="center"/>
                  </w:pPr>
                  <w:r>
                    <w:t xml:space="preserve">Reference model</w:t>
                  </w:r>
                </w:p>
              </w:tc>
              <w:tc>
                <w:tcPr/>
                <w:p>
                  <w:pPr>
                    <w:pStyle w:val="Compact"/>
                    <w:jc w:val="left"/>
                    <w:jc w:val="center"/>
                  </w:pPr>
                  <w:r>
                    <w:t xml:space="preserve">Stock structure</w:t>
                  </w:r>
                </w:p>
              </w:tc>
              <w:tc>
                <w:tcPr/>
                <w:p>
                  <w:pPr>
                    <w:pStyle w:val="Compact"/>
                    <w:jc w:val="left"/>
                    <w:jc w:val="center"/>
                  </w:pPr>
                  <w:r>
                    <w:t xml:space="preserve">Data changes</w:t>
                  </w:r>
                </w:p>
              </w:tc>
              <w:tc>
                <w:tcPr/>
                <w:p>
                  <w:pPr>
                    <w:pStyle w:val="Compact"/>
                    <w:jc w:val="left"/>
                    <w:jc w:val="center"/>
                  </w:pPr>
                  <w:r>
                    <w:t xml:space="preserve">Selectivity changes</w:t>
                  </w:r>
                </w:p>
              </w:tc>
              <w:tc>
                <w:tcPr/>
                <w:p>
                  <w:pPr>
                    <w:pStyle w:val="Compact"/>
                    <w:jc w:val="left"/>
                    <w:jc w:val="center"/>
                  </w:pPr>
                  <w:r>
                    <w:t xml:space="preserve">Main purpose</w:t>
                  </w:r>
                </w:p>
              </w:tc>
            </w:tr>
            <w:tr>
              <w:tc>
                <w:tcPr/>
                <w:p>
                  <w:pPr>
                    <w:pStyle w:val="Compact"/>
                    <w:jc w:val="left"/>
                    <w:jc w:val="center"/>
                  </w:pPr>
                  <w:r>
                    <w:t xml:space="preserve">h1_2.00</w:t>
                  </w:r>
                </w:p>
              </w:tc>
              <w:tc>
                <w:tcPr/>
                <w:p>
                  <w:pPr>
                    <w:pStyle w:val="Compact"/>
                    <w:jc w:val="left"/>
                    <w:jc w:val="center"/>
                  </w:pPr>
                  <w:r>
                    <w:t xml:space="preserve">h1_1.14</w:t>
                  </w:r>
                </w:p>
              </w:tc>
              <w:tc>
                <w:tcPr/>
                <w:p>
                  <w:pPr>
                    <w:pStyle w:val="Compact"/>
                    <w:jc w:val="left"/>
                    <w:jc w:val="center"/>
                  </w:pPr>
                  <w:r>
                    <w:t xml:space="preserve">Single stock</w:t>
                  </w:r>
                </w:p>
              </w:tc>
              <w:tc>
                <w:tcPr/>
                <w:p>
                  <w:pPr>
                    <w:pStyle w:val="Compact"/>
                    <w:jc w:val="left"/>
                    <w:jc w:val="center"/>
                  </w:pPr>
                  <w:r>
                    <w:t xml:space="preserve">Drops Chile_AcousCS, DEPM, and Peru_Acoustic; trims Chile_AcousN to the reduced-index configuration (</w:t>
                  </w:r>
                  <w:r>
                    <w:rPr>
                      <w:rStyle w:val="VerbatimChar"/>
                    </w:rPr>
                    <w:t xml:space="preserve">2.00.dat</w:t>
                  </w:r>
                  <w:r>
                    <w:t xml:space="preserve">).</w:t>
                  </w:r>
                </w:p>
              </w:tc>
              <w:tc>
                <w:tcPr/>
                <w:p>
                  <w:pPr>
                    <w:pStyle w:val="Compact"/>
                    <w:jc w:val="left"/>
                    <w:jc w:val="center"/>
                  </w:pPr>
                  <w:r>
                    <w:t xml:space="preserve">No change from h1_1.14 beyond what is implied by the reduced-index fit.</w:t>
                  </w:r>
                </w:p>
              </w:tc>
              <w:tc>
                <w:tcPr/>
                <w:p>
                  <w:pPr>
                    <w:pStyle w:val="Compact"/>
                    <w:jc w:val="left"/>
                    <w:jc w:val="center"/>
                  </w:pPr>
                  <w:r>
                    <w:t xml:space="preserve">Reduced-index baseline sensitivity.</w:t>
                  </w:r>
                </w:p>
              </w:tc>
            </w:tr>
            <w:tr>
              <w:tc>
                <w:tcPr/>
                <w:p>
                  <w:pPr>
                    <w:pStyle w:val="Compact"/>
                    <w:jc w:val="left"/>
                    <w:jc w:val="center"/>
                  </w:pPr>
                  <w:r>
                    <w:t xml:space="preserve">h1_2.01</w:t>
                  </w:r>
                </w:p>
              </w:tc>
              <w:tc>
                <w:tcPr/>
                <w:p>
                  <w:pPr>
                    <w:pStyle w:val="Compact"/>
                    <w:jc w:val="left"/>
                    <w:jc w:val="center"/>
                  </w:pPr>
                  <w:r>
                    <w:t xml:space="preserve">h1_2.00</w:t>
                  </w:r>
                </w:p>
              </w:tc>
              <w:tc>
                <w:tcPr/>
                <w:p>
                  <w:pPr>
                    <w:pStyle w:val="Compact"/>
                    <w:jc w:val="left"/>
                    <w:jc w:val="center"/>
                  </w:pPr>
                  <w:r>
                    <w:t xml:space="preserve">Single stock</w:t>
                  </w:r>
                </w:p>
              </w:tc>
              <w:tc>
                <w:tcPr/>
                <w:p>
                  <w:pPr>
                    <w:pStyle w:val="Compact"/>
                    <w:jc w:val="left"/>
                    <w:jc w:val="center"/>
                  </w:pPr>
                  <w:r>
                    <w:t xml:space="preserve">Same reduced-index data as h1_2.00.</w:t>
                  </w:r>
                </w:p>
              </w:tc>
              <w:tc>
                <w:tcPr/>
                <w:p>
                  <w:pPr>
                    <w:pStyle w:val="Compact"/>
                    <w:jc w:val="left"/>
                    <w:jc w:val="center"/>
                  </w:pPr>
                  <w:r>
                    <w:t xml:space="preserve">Adds fleet-specific fishery selectivity blocks for all fisheries.</w:t>
                  </w:r>
                </w:p>
              </w:tc>
              <w:tc>
                <w:tcPr/>
                <w:p>
                  <w:pPr>
                    <w:pStyle w:val="Compact"/>
                    <w:jc w:val="left"/>
                    <w:jc w:val="center"/>
                  </w:pPr>
                  <w:r>
                    <w:t xml:space="preserve">Tests broad fishery selectivity simplification.</w:t>
                  </w:r>
                </w:p>
              </w:tc>
            </w:tr>
            <w:tr>
              <w:tc>
                <w:tcPr/>
                <w:p>
                  <w:pPr>
                    <w:pStyle w:val="Compact"/>
                    <w:jc w:val="left"/>
                    <w:jc w:val="center"/>
                  </w:pPr>
                  <w:r>
                    <w:t xml:space="preserve">h1_2.01.1</w:t>
                  </w:r>
                </w:p>
              </w:tc>
              <w:tc>
                <w:tcPr/>
                <w:p>
                  <w:pPr>
                    <w:pStyle w:val="Compact"/>
                    <w:jc w:val="left"/>
                    <w:jc w:val="center"/>
                  </w:pPr>
                  <w:r>
                    <w:t xml:space="preserve">h1_2.01</w:t>
                  </w:r>
                </w:p>
              </w:tc>
              <w:tc>
                <w:tcPr/>
                <w:p>
                  <w:pPr>
                    <w:pStyle w:val="Compact"/>
                    <w:jc w:val="left"/>
                    <w:jc w:val="center"/>
                  </w:pPr>
                  <w:r>
                    <w:t xml:space="preserve">Single stock</w:t>
                  </w:r>
                </w:p>
              </w:tc>
              <w:tc>
                <w:tcPr/>
                <w:p>
                  <w:pPr>
                    <w:pStyle w:val="Compact"/>
                    <w:jc w:val="left"/>
                    <w:jc w:val="center"/>
                  </w:pPr>
                  <w:r>
                    <w:t xml:space="preserve">Same reduced-index data as h1_2.01.</w:t>
                  </w:r>
                </w:p>
              </w:tc>
              <w:tc>
                <w:tcPr/>
                <w:p>
                  <w:pPr>
                    <w:pStyle w:val="Compact"/>
                    <w:jc w:val="left"/>
                    <w:jc w:val="center"/>
                  </w:pPr>
                  <w:r>
                    <w:t xml:space="preserve">Keeps the</w:t>
                  </w:r>
                  <w:r>
                    <w:t xml:space="preserve"> </w:t>
                  </w:r>
                  <w:r>
                    <w:rPr>
                      <w:rStyle w:val="VerbatimChar"/>
                    </w:rPr>
                    <w:t xml:space="preserve">h1_2.01</w:t>
                  </w:r>
                  <w:r>
                    <w:t xml:space="preserve"> </w:t>
                  </w:r>
                  <w:r>
                    <w:t xml:space="preserve">block structure except restores annual selectivity variability for the South-Central Chile fishery.</w:t>
                  </w:r>
                </w:p>
              </w:tc>
              <w:tc>
                <w:tcPr/>
                <w:p>
                  <w:pPr>
                    <w:pStyle w:val="Compact"/>
                    <w:jc w:val="left"/>
                    <w:jc w:val="center"/>
                  </w:pPr>
                  <w:r>
                    <w:t xml:space="preserve">Tests whether restoring S-C Chile selectivity flexibility recovers fit within the block-selectivity framework.</w:t>
                  </w:r>
                </w:p>
              </w:tc>
            </w:tr>
            <w:tr>
              <w:tc>
                <w:tcPr/>
                <w:p>
                  <w:pPr>
                    <w:pStyle w:val="Compact"/>
                    <w:jc w:val="left"/>
                    <w:jc w:val="center"/>
                  </w:pPr>
                  <w:r>
                    <w:t xml:space="preserve">h1_2.01.2</w:t>
                  </w:r>
                </w:p>
              </w:tc>
              <w:tc>
                <w:tcPr/>
                <w:p>
                  <w:pPr>
                    <w:pStyle w:val="Compact"/>
                    <w:jc w:val="left"/>
                    <w:jc w:val="center"/>
                  </w:pPr>
                  <w:r>
                    <w:t xml:space="preserve">h1_2.01.1</w:t>
                  </w:r>
                </w:p>
              </w:tc>
              <w:tc>
                <w:tcPr/>
                <w:p>
                  <w:pPr>
                    <w:pStyle w:val="Compact"/>
                    <w:jc w:val="left"/>
                    <w:jc w:val="center"/>
                  </w:pPr>
                  <w:r>
                    <w:t xml:space="preserve">Single stock</w:t>
                  </w:r>
                </w:p>
              </w:tc>
              <w:tc>
                <w:tcPr/>
                <w:p>
                  <w:pPr>
                    <w:pStyle w:val="Compact"/>
                    <w:jc w:val="left"/>
                    <w:jc w:val="center"/>
                  </w:pPr>
                  <w:r>
                    <w:t xml:space="preserve">Same reduced-index data as h1_2.01.1.</w:t>
                  </w:r>
                </w:p>
              </w:tc>
              <w:tc>
                <w:tcPr/>
                <w:p>
                  <w:pPr>
                    <w:pStyle w:val="Compact"/>
                    <w:jc w:val="left"/>
                    <w:jc w:val="center"/>
                  </w:pPr>
                  <w:r>
                    <w:t xml:space="preserve">Keeps the</w:t>
                  </w:r>
                  <w:r>
                    <w:t xml:space="preserve"> </w:t>
                  </w:r>
                  <w:r>
                    <w:rPr>
                      <w:rStyle w:val="VerbatimChar"/>
                    </w:rPr>
                    <w:t xml:space="preserve">h1_2.01.1</w:t>
                  </w:r>
                  <w:r>
                    <w:t xml:space="preserve"> </w:t>
                  </w:r>
                  <w:r>
                    <w:t xml:space="preserve">structure except replaces annual S-C Chile variability with five S-C Chile blocks starting in 1985, 1998, 2008, and 2016.</w:t>
                  </w:r>
                </w:p>
              </w:tc>
              <w:tc>
                <w:tcPr/>
                <w:p>
                  <w:pPr>
                    <w:pStyle w:val="Compact"/>
                    <w:jc w:val="left"/>
                    <w:jc w:val="center"/>
                  </w:pPr>
                  <w:r>
                    <w:t xml:space="preserve">Tests whether a five-block S-C Chile treatment can retain recent structure without reverting to full annual flexibility.</w:t>
                  </w:r>
                </w:p>
              </w:tc>
            </w:tr>
            <w:tr>
              <w:tc>
                <w:tcPr/>
                <w:p>
                  <w:pPr>
                    <w:pStyle w:val="Compact"/>
                    <w:jc w:val="left"/>
                    <w:jc w:val="center"/>
                  </w:pPr>
                  <w:r>
                    <w:t xml:space="preserve">h1_2.01.3</w:t>
                  </w:r>
                </w:p>
              </w:tc>
              <w:tc>
                <w:tcPr/>
                <w:p>
                  <w:pPr>
                    <w:pStyle w:val="Compact"/>
                    <w:jc w:val="left"/>
                    <w:jc w:val="center"/>
                  </w:pPr>
                  <w:r>
                    <w:t xml:space="preserve">h1_2.01</w:t>
                  </w:r>
                </w:p>
              </w:tc>
              <w:tc>
                <w:tcPr/>
                <w:p>
                  <w:pPr>
                    <w:pStyle w:val="Compact"/>
                    <w:jc w:val="left"/>
                    <w:jc w:val="center"/>
                  </w:pPr>
                  <w:r>
                    <w:t xml:space="preserve">Single stock</w:t>
                  </w:r>
                </w:p>
              </w:tc>
              <w:tc>
                <w:tcPr/>
                <w:p>
                  <w:pPr>
                    <w:pStyle w:val="Compact"/>
                    <w:jc w:val="left"/>
                    <w:jc w:val="center"/>
                  </w:pPr>
                  <w:r>
                    <w:t xml:space="preserve">Same reduced-index data as h1_2.01.</w:t>
                  </w:r>
                </w:p>
              </w:tc>
              <w:tc>
                <w:tcPr/>
                <w:p>
                  <w:pPr>
                    <w:pStyle w:val="Compact"/>
                    <w:jc w:val="left"/>
                    <w:jc w:val="center"/>
                  </w:pPr>
                  <w:r>
                    <w:t xml:space="preserve">Keeps the</w:t>
                  </w:r>
                  <w:r>
                    <w:t xml:space="preserve"> </w:t>
                  </w:r>
                  <w:r>
                    <w:rPr>
                      <w:rStyle w:val="VerbatimChar"/>
                    </w:rPr>
                    <w:t xml:space="preserve">h1_2.01</w:t>
                  </w:r>
                  <w:r>
                    <w:t xml:space="preserve"> </w:t>
                  </w:r>
                  <w:r>
                    <w:t xml:space="preserve">selectivity structure but adds estimated random walks in index q for the retained indices and constrains q age scaling to ages 2-6.</w:t>
                  </w:r>
                </w:p>
              </w:tc>
              <w:tc>
                <w:tcPr/>
                <w:p>
                  <w:pPr>
                    <w:pStyle w:val="Compact"/>
                    <w:jc w:val="left"/>
                    <w:jc w:val="center"/>
                  </w:pPr>
                  <w:r>
                    <w:t xml:space="preserve">Tests whether time-varying index catchability can recover fit within the block-selectivity formulation.</w:t>
                  </w:r>
                </w:p>
              </w:tc>
            </w:tr>
            <w:tr>
              <w:tc>
                <w:tcPr/>
                <w:p>
                  <w:pPr>
                    <w:pStyle w:val="Compact"/>
                    <w:jc w:val="left"/>
                    <w:jc w:val="center"/>
                  </w:pPr>
                  <w:r>
                    <w:t xml:space="preserve">h1_2.02</w:t>
                  </w:r>
                </w:p>
              </w:tc>
              <w:tc>
                <w:tcPr/>
                <w:p>
                  <w:pPr>
                    <w:pStyle w:val="Compact"/>
                    <w:jc w:val="left"/>
                    <w:jc w:val="center"/>
                  </w:pPr>
                  <w:r>
                    <w:t xml:space="preserve">h1_2.00</w:t>
                  </w:r>
                </w:p>
              </w:tc>
              <w:tc>
                <w:tcPr/>
                <w:p>
                  <w:pPr>
                    <w:pStyle w:val="Compact"/>
                    <w:jc w:val="left"/>
                    <w:jc w:val="center"/>
                  </w:pPr>
                  <w:r>
                    <w:t xml:space="preserve">Single stock</w:t>
                  </w:r>
                </w:p>
              </w:tc>
              <w:tc>
                <w:tcPr/>
                <w:p>
                  <w:pPr>
                    <w:pStyle w:val="Compact"/>
                    <w:jc w:val="left"/>
                    <w:jc w:val="center"/>
                  </w:pPr>
                  <w:r>
                    <w:t xml:space="preserve">Same reduced-index data as h1_2.00.</w:t>
                  </w:r>
                </w:p>
              </w:tc>
              <w:tc>
                <w:tcPr/>
                <w:p>
                  <w:pPr>
                    <w:pStyle w:val="Compact"/>
                    <w:jc w:val="left"/>
                    <w:jc w:val="center"/>
                  </w:pPr>
                  <w:r>
                    <w:t xml:space="preserve">Keeps h1_2.00 except harmonizes Far North fishery selectivity to the single 2002 split used in h2_1.14.</w:t>
                  </w:r>
                </w:p>
              </w:tc>
              <w:tc>
                <w:tcPr/>
                <w:p>
                  <w:pPr>
                    <w:pStyle w:val="Compact"/>
                    <w:jc w:val="left"/>
                    <w:jc w:val="center"/>
                  </w:pPr>
                  <w:r>
                    <w:t xml:space="preserve">Isolates Far North selectivity harmonization within the single-stock hypothesis.</w:t>
                  </w:r>
                </w:p>
              </w:tc>
            </w:tr>
            <w:tr>
              <w:tc>
                <w:tcPr/>
                <w:p>
                  <w:pPr>
                    <w:pStyle w:val="Compact"/>
                    <w:jc w:val="left"/>
                    <w:jc w:val="center"/>
                  </w:pPr>
                  <w:r>
                    <w:t xml:space="preserve">h2_2.02</w:t>
                  </w:r>
                </w:p>
              </w:tc>
              <w:tc>
                <w:tcPr/>
                <w:p>
                  <w:pPr>
                    <w:pStyle w:val="Compact"/>
                    <w:jc w:val="left"/>
                    <w:jc w:val="center"/>
                  </w:pPr>
                  <w:r>
                    <w:t xml:space="preserve">h2_1.14</w:t>
                  </w:r>
                </w:p>
              </w:tc>
              <w:tc>
                <w:tcPr/>
                <w:p>
                  <w:pPr>
                    <w:pStyle w:val="Compact"/>
                    <w:jc w:val="left"/>
                    <w:jc w:val="center"/>
                  </w:pPr>
                  <w:r>
                    <w:t xml:space="preserve">Two stock</w:t>
                  </w:r>
                </w:p>
              </w:tc>
              <w:tc>
                <w:tcPr/>
                <w:p>
                  <w:pPr>
                    <w:pStyle w:val="Compact"/>
                    <w:jc w:val="left"/>
                    <w:jc w:val="center"/>
                  </w:pPr>
                  <w:r>
                    <w:t xml:space="preserve">Applies the same reduced-index data configuration as</w:t>
                  </w:r>
                  <w:r>
                    <w:t xml:space="preserve"> </w:t>
                  </w:r>
                  <w:r>
                    <w:rPr>
                      <w:rStyle w:val="VerbatimChar"/>
                    </w:rPr>
                    <w:t xml:space="preserve">2.00.dat</w:t>
                  </w:r>
                  <w:r>
                    <w:t xml:space="preserve"> </w:t>
                  </w:r>
                  <w:r>
                    <w:t xml:space="preserve">to the two-stock model.</w:t>
                  </w:r>
                </w:p>
              </w:tc>
              <w:tc>
                <w:tcPr/>
                <w:p>
                  <w:pPr>
                    <w:pStyle w:val="Compact"/>
                    <w:jc w:val="left"/>
                    <w:jc w:val="center"/>
                  </w:pPr>
                  <w:r>
                    <w:t xml:space="preserve">Keeps the h2 Far North selectivity treatment and combines it with the reduced-index data configuration.</w:t>
                  </w:r>
                </w:p>
              </w:tc>
              <w:tc>
                <w:tcPr/>
                <w:p>
                  <w:pPr>
                    <w:pStyle w:val="Compact"/>
                    <w:jc w:val="left"/>
                    <w:jc w:val="center"/>
                  </w:pPr>
                  <w:r>
                    <w:t xml:space="preserve">Provides the two-stock reduced-index harmonized comparator for h1_2.02.</w:t>
                  </w:r>
                </w:p>
              </w:tc>
            </w:tr>
            <w:tr>
              <w:tc>
                <w:tcPr/>
                <w:p>
                  <w:pPr>
                    <w:pStyle w:val="Compact"/>
                    <w:jc w:val="left"/>
                    <w:jc w:val="center"/>
                  </w:pPr>
                  <w:r>
                    <w:t xml:space="preserve">h2_2.03</w:t>
                  </w:r>
                </w:p>
              </w:tc>
              <w:tc>
                <w:tcPr/>
                <w:p>
                  <w:pPr>
                    <w:pStyle w:val="Compact"/>
                    <w:jc w:val="left"/>
                    <w:jc w:val="center"/>
                  </w:pPr>
                  <w:r>
                    <w:t xml:space="preserve">h2_2.02</w:t>
                  </w:r>
                </w:p>
              </w:tc>
              <w:tc>
                <w:tcPr/>
                <w:p>
                  <w:pPr>
                    <w:pStyle w:val="Compact"/>
                    <w:jc w:val="left"/>
                    <w:jc w:val="center"/>
                  </w:pPr>
                  <w:r>
                    <w:t xml:space="preserve">Two stock</w:t>
                  </w:r>
                </w:p>
              </w:tc>
              <w:tc>
                <w:tcPr/>
                <w:p>
                  <w:pPr>
                    <w:pStyle w:val="Compact"/>
                    <w:jc w:val="left"/>
                    <w:jc w:val="center"/>
                  </w:pPr>
                  <w:r>
                    <w:t xml:space="preserve">Same reduced-index data and harmonized northern treatment as h2_2.02.</w:t>
                  </w:r>
                </w:p>
              </w:tc>
              <w:tc>
                <w:tcPr/>
                <w:p>
                  <w:pPr>
                    <w:pStyle w:val="Compact"/>
                    <w:jc w:val="left"/>
                    <w:jc w:val="center"/>
                  </w:pPr>
                  <w:r>
                    <w:t xml:space="preserve">No selectivity change relative to h2_2.02; instead collapses stock-2 recruitment to a single fitted regime.</w:t>
                  </w:r>
                </w:p>
              </w:tc>
              <w:tc>
                <w:tcPr/>
                <w:p>
                  <w:pPr>
                    <w:pStyle w:val="Compact"/>
                    <w:jc w:val="left"/>
                    <w:jc w:val="center"/>
                  </w:pPr>
                  <w:r>
                    <w:t xml:space="preserve">Tests whether the two-stock simplified framework can use one stock-2 stock-recruitment relationship instead of two regimes.</w:t>
                  </w:r>
                </w:p>
              </w:tc>
            </w:tr>
          </w:tbl>
          <w:bookmarkEnd w:id="27"/>
          <w:p/>
        </w:tc>
      </w:tr>
    </w:tbl>
    <w:p>
      <w:pPr>
        <w:pStyle w:val="BodyText"/>
      </w:pPr>
      <w:r>
        <w:rPr>
          <w:b/>
          <w:bCs/>
        </w:rPr>
        <w:t xml:space="preserve">36.</w:t>
      </w:r>
      <w:r>
        <w:t xml:space="preserve"> </w:t>
      </w:r>
      <w:r>
        <w:t xml:space="preserve">The</w:t>
      </w:r>
      <w:r>
        <w:t xml:space="preserve"> </w:t>
      </w:r>
      <w:r>
        <w:rPr>
          <w:rStyle w:val="VerbatimChar"/>
        </w:rPr>
        <w:t xml:space="preserve">h2_2.00</w:t>
      </w:r>
      <w:r>
        <w:t xml:space="preserve"> </w:t>
      </w:r>
      <w:r>
        <w:t xml:space="preserve">serves as the two-stock reduced-index analogue,</w:t>
      </w:r>
      <w:r>
        <w:t xml:space="preserve"> </w:t>
      </w:r>
      <w:r>
        <w:rPr>
          <w:rStyle w:val="VerbatimChar"/>
        </w:rPr>
        <w:t xml:space="preserve">h2_2.02</w:t>
      </w:r>
      <w:r>
        <w:t xml:space="preserve"> </w:t>
      </w:r>
      <w:r>
        <w:t xml:space="preserve">frames the</w:t>
      </w:r>
      <w:r>
        <w:t xml:space="preserve"> </w:t>
      </w:r>
      <w:r>
        <w:t xml:space="preserve">harmonized Far North selectivity treatment, and</w:t>
      </w:r>
      <w:r>
        <w:t xml:space="preserve"> </w:t>
      </w:r>
      <w:r>
        <w:rPr>
          <w:rStyle w:val="VerbatimChar"/>
        </w:rPr>
        <w:t xml:space="preserve">h2_2.03</w:t>
      </w:r>
      <w:r>
        <w:t xml:space="preserve"> </w:t>
      </w:r>
      <w:r>
        <w:t xml:space="preserve">extends that harmonized</w:t>
      </w:r>
      <w:r>
        <w:t xml:space="preserve"> </w:t>
      </w:r>
      <w:r>
        <w:t xml:space="preserve">two-stock setup by simplifying the stock-2 recruitment structure to a single fitted regime.</w:t>
      </w:r>
    </w:p>
    <w:bookmarkStart w:id="39" w:name="reduced-number-of-indices"/>
    <w:p>
      <w:pPr>
        <w:pStyle w:val="Heading2"/>
      </w:pPr>
      <w:r>
        <w:t xml:space="preserve">6.1 Reduced number of indices</w:t>
      </w:r>
    </w:p>
    <w:p>
      <w:pPr>
        <w:pStyle w:val="FirstParagraph"/>
      </w:pPr>
      <w:r>
        <w:rPr>
          <w:b/>
          <w:bCs/>
        </w:rPr>
        <w:t xml:space="preserve">37.</w:t>
      </w:r>
      <w:r>
        <w:t xml:space="preserve"> </w:t>
      </w:r>
      <w:r>
        <w:t xml:space="preserve">There are three indices in the model that are no longer being conducted and generally</w:t>
      </w:r>
      <w:r>
        <w:t xml:space="preserve"> </w:t>
      </w:r>
      <w:r>
        <w:t xml:space="preserve">fit poorly relative to other data. These included the Central-South acoustic survey,</w:t>
      </w:r>
      <w:r>
        <w:t xml:space="preserve"> </w:t>
      </w:r>
      <w:r>
        <w:t xml:space="preserve">the egg-production index, and the Peruvian acoustic surveys. One sensitivity to omitting these data was considered.</w:t>
      </w:r>
    </w:p>
    <w:p>
      <w:pPr>
        <w:pStyle w:val="BodyText"/>
      </w:pPr>
      <w:r>
        <w:rPr>
          <w:b/>
          <w:bCs/>
        </w:rPr>
        <w:t xml:space="preserve">38.</w:t>
      </w:r>
      <w:r>
        <w:t xml:space="preserve"> </w:t>
      </w:r>
      <w:r>
        <w:t xml:space="preserve">The resulting sensitivity run is represented here by</w:t>
      </w:r>
      <w:r>
        <w:t xml:space="preserve"> </w:t>
      </w:r>
      <w:r>
        <w:rPr>
          <w:rStyle w:val="VerbatimChar"/>
        </w:rPr>
        <w:t xml:space="preserve">h1_2.00</w:t>
      </w:r>
      <w:r>
        <w:t xml:space="preserve">, which removes</w:t>
      </w:r>
      <w:r>
        <w:t xml:space="preserve"> </w:t>
      </w:r>
      <w:r>
        <w:rPr>
          <w:rStyle w:val="VerbatimChar"/>
        </w:rPr>
        <w:t xml:space="preserve">Chile_AcousCS</w:t>
      </w:r>
      <w:r>
        <w:t xml:space="preserve">,</w:t>
      </w:r>
      <w:r>
        <w:t xml:space="preserve"> </w:t>
      </w:r>
      <w:r>
        <w:rPr>
          <w:rStyle w:val="VerbatimChar"/>
        </w:rPr>
        <w:t xml:space="preserve">DEPM</w:t>
      </w:r>
      <w:r>
        <w:t xml:space="preserve">, and</w:t>
      </w:r>
      <w:r>
        <w:t xml:space="preserve"> </w:t>
      </w:r>
      <w:r>
        <w:rPr>
          <w:rStyle w:val="VerbatimChar"/>
        </w:rPr>
        <w:t xml:space="preserve">Peru_Acoustic</w:t>
      </w:r>
      <w:r>
        <w:t xml:space="preserve"> </w:t>
      </w:r>
      <w:r>
        <w:t xml:space="preserve">from the single-stock configuration and also trims the retained</w:t>
      </w:r>
      <w:r>
        <w:t xml:space="preserve"> </w:t>
      </w:r>
      <w:r>
        <w:rPr>
          <w:rStyle w:val="VerbatimChar"/>
        </w:rPr>
        <w:t xml:space="preserve">Chile_AcousN</w:t>
      </w:r>
      <w:r>
        <w:t xml:space="preserve"> </w:t>
      </w:r>
      <w:r>
        <w:t xml:space="preserve">series to years 2000 and later. Relative to</w:t>
      </w:r>
      <w:r>
        <w:t xml:space="preserve"> </w:t>
      </w:r>
      <w:r>
        <w:rPr>
          <w:rStyle w:val="VerbatimChar"/>
        </w:rPr>
        <w:t xml:space="preserve">h1_1.14</w:t>
      </w:r>
      <w:r>
        <w:t xml:space="preserve">, this drops 56 index-year observations in total: 13 from</w:t>
      </w:r>
      <w:r>
        <w:t xml:space="preserve"> </w:t>
      </w:r>
      <w:r>
        <w:rPr>
          <w:rStyle w:val="VerbatimChar"/>
        </w:rPr>
        <w:t xml:space="preserve">Chile_AcousCS</w:t>
      </w:r>
      <w:r>
        <w:t xml:space="preserve">, 9 from</w:t>
      </w:r>
      <w:r>
        <w:t xml:space="preserve"> </w:t>
      </w:r>
      <w:r>
        <w:rPr>
          <w:rStyle w:val="VerbatimChar"/>
        </w:rPr>
        <w:t xml:space="preserve">DEPM</w:t>
      </w:r>
      <w:r>
        <w:t xml:space="preserve">, 28 from</w:t>
      </w:r>
      <w:r>
        <w:t xml:space="preserve"> </w:t>
      </w:r>
      <w:r>
        <w:rPr>
          <w:rStyle w:val="VerbatimChar"/>
        </w:rPr>
        <w:t xml:space="preserve">Peru_Acoustic</w:t>
      </w:r>
      <w:r>
        <w:t xml:space="preserve">, and 6 pre-2000 observations from</w:t>
      </w:r>
      <w:r>
        <w:t xml:space="preserve"> </w:t>
      </w:r>
      <w:r>
        <w:rPr>
          <w:rStyle w:val="VerbatimChar"/>
        </w:rPr>
        <w:t xml:space="preserve">Chile_AcousN</w:t>
      </w:r>
      <w:r>
        <w:t xml:space="preserve">. It also reduces the fitted parameter vector by 44 parameters, from 1865 in</w:t>
      </w:r>
      <w:r>
        <w:t xml:space="preserve"> </w:t>
      </w:r>
      <w:r>
        <w:rPr>
          <w:rStyle w:val="VerbatimChar"/>
        </w:rPr>
        <w:t xml:space="preserve">h1_1.14</w:t>
      </w:r>
      <w:r>
        <w:t xml:space="preserve"> </w:t>
      </w:r>
      <w:r>
        <w:t xml:space="preserve">to 1821 in</w:t>
      </w:r>
      <w:r>
        <w:t xml:space="preserve"> </w:t>
      </w:r>
      <w:r>
        <w:rPr>
          <w:rStyle w:val="VerbatimChar"/>
        </w:rPr>
        <w:t xml:space="preserve">h1_2.00</w:t>
      </w:r>
      <w:r>
        <w:t xml:space="preserve">. This comparison is useful because it isolates a specific simplification of the observation model while leaving the broader single-stock population structure unchanged.</w:t>
      </w:r>
    </w:p>
    <w:tbl>
      <w:tblPr>
        <w:tblStyle w:val="Table"/>
        <w:tblW w:type="pct" w:w="5000"/>
        <w:tblLayout w:type="fixed"/>
        <w:tblLook w:firstRow="0" w:lastRow="0" w:firstColumn="0" w:lastColumn="0" w:noHBand="0" w:noVBand="0" w:val="0000"/>
      </w:tblPr>
      <w:tblGrid>
        <w:gridCol w:w="7920"/>
      </w:tblGrid>
      <w:tr>
        <w:tc>
          <w:tcPr/>
          <w:bookmarkStart w:id="31" w:name="fig-reduced-indices-ssb"/>
          <w:p>
            <w:pPr>
              <w:pStyle w:val="Compact"/>
              <w:jc w:val="center"/>
            </w:pPr>
            <w:r>
              <w:drawing>
                <wp:inline>
                  <wp:extent cx="5334000" cy="3194843"/>
                  <wp:effectExtent b="0" l="0" r="0" t="0"/>
                  <wp:docPr descr="" title="" id="29" name="Picture"/>
                  <a:graphic>
                    <a:graphicData uri="http://schemas.openxmlformats.org/drawingml/2006/picture">
                      <pic:pic>
                        <pic:nvPicPr>
                          <pic:cNvPr descr="SCW16-Paper-01_files/figure-docx/fig-reduced-indices-ssb-1.png" id="30" name="Picture"/>
                          <pic:cNvPicPr>
                            <a:picLocks noChangeArrowheads="1" noChangeAspect="1"/>
                          </pic:cNvPicPr>
                        </pic:nvPicPr>
                        <pic:blipFill>
                          <a:blip r:embed="rId28"/>
                          <a:stretch>
                            <a:fillRect/>
                          </a:stretch>
                        </pic:blipFill>
                        <pic:spPr bwMode="auto">
                          <a:xfrm>
                            <a:off x="0" y="0"/>
                            <a:ext cx="5334000" cy="3194843"/>
                          </a:xfrm>
                          <a:prstGeom prst="rect">
                            <a:avLst/>
                          </a:prstGeom>
                          <a:noFill/>
                          <a:ln w="9525">
                            <a:noFill/>
                            <a:headEnd/>
                            <a:tailEnd/>
                          </a:ln>
                        </pic:spPr>
                      </pic:pic>
                    </a:graphicData>
                  </a:graphic>
                </wp:inline>
              </w:drawing>
            </w:r>
          </w:p>
          <w:p>
            <w:pPr>
              <w:jc w:val="center"/>
            </w:pPr>
            <w:pPr>
              <w:jc w:val="left"/>
              <w:spacing w:before="200"/>
              <w:pStyle w:val="ImageCaption"/>
            </w:pPr>
            <w:r>
              <w:t xml:space="preserve">Figure 1: Comparison of spawning biomass trajectories from the base single-stock model (</w:t>
            </w:r>
            <w:r>
              <w:rPr>
                <w:rStyle w:val="VerbatimChar"/>
              </w:rPr>
              <w:t xml:space="preserve">h1_1.14</w:t>
            </w:r>
            <w:r>
              <w:t xml:space="preserve">) and the reduced-index sensitivity (</w:t>
            </w:r>
            <w:r>
              <w:rPr>
                <w:rStyle w:val="VerbatimChar"/>
              </w:rPr>
              <w:t xml:space="preserve">h1_2.00</w:t>
            </w:r>
            <w:r>
              <w:t xml:space="preserve">).</w:t>
            </w:r>
          </w:p>
          <w:bookmarkEnd w:id="31"/>
        </w:tc>
      </w:tr>
    </w:tbl>
    <w:tbl>
      <w:tblPr>
        <w:tblStyle w:val="Table"/>
        <w:tblW w:type="pct" w:w="5000"/>
        <w:tblLayout w:type="fixed"/>
        <w:tblLook w:firstRow="0" w:lastRow="0" w:firstColumn="0" w:lastColumn="0" w:noHBand="0" w:noVBand="0" w:val="0000"/>
      </w:tblPr>
      <w:tblGrid>
        <w:gridCol w:w="7920"/>
      </w:tblGrid>
      <w:tr>
        <w:tc>
          <w:tcPr/>
          <w:bookmarkStart w:id="35" w:name="fig-reduced-indices-rec"/>
          <w:p>
            <w:pPr>
              <w:pStyle w:val="Compact"/>
              <w:jc w:val="center"/>
            </w:pPr>
            <w:r>
              <w:drawing>
                <wp:inline>
                  <wp:extent cx="5334000" cy="3194843"/>
                  <wp:effectExtent b="0" l="0" r="0" t="0"/>
                  <wp:docPr descr="" title="" id="33" name="Picture"/>
                  <a:graphic>
                    <a:graphicData uri="http://schemas.openxmlformats.org/drawingml/2006/picture">
                      <pic:pic>
                        <pic:nvPicPr>
                          <pic:cNvPr descr="SCW16-Paper-01_files/figure-docx/fig-reduced-indices-rec-1.png" id="34" name="Picture"/>
                          <pic:cNvPicPr>
                            <a:picLocks noChangeArrowheads="1" noChangeAspect="1"/>
                          </pic:cNvPicPr>
                        </pic:nvPicPr>
                        <pic:blipFill>
                          <a:blip r:embed="rId32"/>
                          <a:stretch>
                            <a:fillRect/>
                          </a:stretch>
                        </pic:blipFill>
                        <pic:spPr bwMode="auto">
                          <a:xfrm>
                            <a:off x="0" y="0"/>
                            <a:ext cx="5334000" cy="3194843"/>
                          </a:xfrm>
                          <a:prstGeom prst="rect">
                            <a:avLst/>
                          </a:prstGeom>
                          <a:noFill/>
                          <a:ln w="9525">
                            <a:noFill/>
                            <a:headEnd/>
                            <a:tailEnd/>
                          </a:ln>
                        </pic:spPr>
                      </pic:pic>
                    </a:graphicData>
                  </a:graphic>
                </wp:inline>
              </w:drawing>
            </w:r>
          </w:p>
          <w:p>
            <w:pPr>
              <w:jc w:val="center"/>
            </w:pPr>
            <w:pPr>
              <w:jc w:val="left"/>
              <w:spacing w:before="200"/>
              <w:pStyle w:val="ImageCaption"/>
            </w:pPr>
            <w:r>
              <w:t xml:space="preserve">Figure 2: Comparison of recruitment trajectories from the base single-stock model (</w:t>
            </w:r>
            <w:r>
              <w:rPr>
                <w:rStyle w:val="VerbatimChar"/>
              </w:rPr>
              <w:t xml:space="preserve">h1_1.14</w:t>
            </w:r>
            <w:r>
              <w:t xml:space="preserve">) and the reduced-index sensitivity (</w:t>
            </w:r>
            <w:r>
              <w:rPr>
                <w:rStyle w:val="VerbatimChar"/>
              </w:rPr>
              <w:t xml:space="preserve">h1_2.00</w:t>
            </w:r>
            <w:r>
              <w:t xml:space="preserve">).</w:t>
            </w:r>
          </w:p>
          <w:bookmarkEnd w:id="35"/>
        </w:tc>
      </w:tr>
    </w:tbl>
    <w:p>
      <w:pPr>
        <w:pStyle w:val="BodyText"/>
      </w:pPr>
      <w:r>
        <w:rPr>
          <w:b/>
          <w:bCs/>
        </w:rPr>
        <w:t xml:space="preserve">39.</w:t>
      </w:r>
      <w:r>
        <w:t xml:space="preserve"> </w:t>
      </w:r>
      <w:r>
        <w:t xml:space="preserve">Relative to</w:t>
      </w:r>
      <w:r>
        <w:t xml:space="preserve"> </w:t>
      </w:r>
      <w:r>
        <w:rPr>
          <w:rStyle w:val="VerbatimChar"/>
        </w:rPr>
        <w:t xml:space="preserve">h1_1.14</w:t>
      </w:r>
      <w:r>
        <w:t xml:space="preserve">, the reduced-index model leaves the broad historical pattern intact but slightly lowers the terminal objective function, from about 1323.8 in</w:t>
      </w:r>
      <w:r>
        <w:t xml:space="preserve"> </w:t>
      </w:r>
      <w:r>
        <w:rPr>
          <w:rStyle w:val="VerbatimChar"/>
        </w:rPr>
        <w:t xml:space="preserve">h1_1.14</w:t>
      </w:r>
      <w:r>
        <w:t xml:space="preserve"> </w:t>
      </w:r>
      <w:r>
        <w:t xml:space="preserve">to about 1234.7 in</w:t>
      </w:r>
      <w:r>
        <w:t xml:space="preserve"> </w:t>
      </w:r>
      <w:r>
        <w:rPr>
          <w:rStyle w:val="VerbatimChar"/>
        </w:rPr>
        <w:t xml:space="preserve">h1_2.00</w:t>
      </w:r>
      <w:r>
        <w:t xml:space="preserve">. Terminal-year spawning biomass uncertainty remains very similar between the two fits, although it is slightly higher in the reduced-index run: the 2025 SSB CV is about 0.125 for</w:t>
      </w:r>
      <w:r>
        <w:t xml:space="preserve"> </w:t>
      </w:r>
      <w:r>
        <w:rPr>
          <w:rStyle w:val="VerbatimChar"/>
        </w:rPr>
        <w:t xml:space="preserve">h1_1.14</w:t>
      </w:r>
      <w:r>
        <w:t xml:space="preserve"> </w:t>
      </w:r>
      <w:r>
        <w:t xml:space="preserve">and about 0.129 for</w:t>
      </w:r>
      <w:r>
        <w:t xml:space="preserve"> </w:t>
      </w:r>
      <w:r>
        <w:rPr>
          <w:rStyle w:val="VerbatimChar"/>
        </w:rPr>
        <w:t xml:space="preserve">h1_2.00</w:t>
      </w:r>
      <w:r>
        <w:t xml:space="preserve">. As shown in</w:t>
      </w:r>
      <w:r>
        <w:t xml:space="preserve"> </w:t>
      </w:r>
      <w:hyperlink w:anchor="fig-reduced-indices-ssb">
        <w:r>
          <w:rPr>
            <w:rStyle w:val="Hyperlink"/>
          </w:rPr>
          <w:t xml:space="preserve">Figure 1</w:t>
        </w:r>
      </w:hyperlink>
      <w:r>
        <w:t xml:space="preserve"> </w:t>
      </w:r>
      <w:r>
        <w:t xml:space="preserve">and</w:t>
      </w:r>
      <w:r>
        <w:t xml:space="preserve"> </w:t>
      </w:r>
      <w:hyperlink w:anchor="fig-reduced-indices-rec">
        <w:r>
          <w:rPr>
            <w:rStyle w:val="Hyperlink"/>
          </w:rPr>
          <w:t xml:space="preserve">Figure 2</w:t>
        </w:r>
      </w:hyperlink>
      <w:r>
        <w:t xml:space="preserve">, the series plots are useful as a first diagnostic of whether the omitted indices were materially changing stock perception or mainly adding noise and additional fitting burden. If the trajectories remain broadly similar, then reducing the index set may be a promising simplification for later MSE work.</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7" name="Picture"/>
                  <a:graphic>
                    <a:graphicData uri="http://schemas.openxmlformats.org/drawingml/2006/picture">
                      <pic:pic>
                        <pic:nvPicPr>
                          <pic:cNvPr descr="/Applications/quarto/share/formats/docx/note.png" id="38" name="Picture"/>
                          <pic:cNvPicPr>
                            <a:picLocks noChangeArrowheads="1" noChangeAspect="1"/>
                          </pic:cNvPicPr>
                        </pic:nvPicPr>
                        <pic:blipFill>
                          <a:blip r:embed="rId3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 (I. Mosqueira)</w:t>
            </w:r>
          </w:p>
        </w:tc>
      </w:tr>
      <w:tr>
        <w:trPr>
          <w:cantSplit/>
        </w:trPr>
        <w:tc>
          <w:tcPr>
            <w:tcMar>
              <w:top w:w="108" w:type="dxa"/>
              <w:bottom w:w="108" w:type="dxa"/>
            </w:tcMar>
          </w:tcPr>
          <w:p>
            <w:pPr>
              <w:pStyle w:val="BodyText"/>
            </w:pPr>
            <w:pPr>
              <w:spacing w:before="16" w:after="16"/>
            </w:pPr>
            <w:r>
              <w:rPr>
                <w:b/>
                <w:bCs/>
              </w:rPr>
              <w:t xml:space="preserve">40.</w:t>
            </w:r>
            <w:r>
              <w:t xml:space="preserve"> </w:t>
            </w:r>
            <w:r>
              <w:t xml:space="preserve">The existing</w:t>
            </w:r>
            <w:r>
              <w:t xml:space="preserve"> </w:t>
            </w:r>
            <w:r>
              <w:rPr>
                <w:rStyle w:val="VerbatimChar"/>
              </w:rPr>
              <w:t xml:space="preserve">cjm.oem</w:t>
            </w:r>
            <w:r>
              <w:t xml:space="preserve"> </w:t>
            </w:r>
            <w:r>
              <w:t xml:space="preserve">function in the MSE codebase already accommodates the legacy indices and accounts for the one-year lag in reporting the offshore CPUE. This means that the computational infrastructure for alternative index configurations is already in place, which substantially reduces the implementation burden of running multiple index configurations within the MSE framework.</w:t>
            </w:r>
          </w:p>
          <w:p/>
        </w:tc>
      </w:tr>
    </w:tbl>
    <w:p>
      <w:pPr>
        <w:pStyle w:val="BodyText"/>
      </w:pPr>
      <w:r>
        <w:rPr>
          <w:b/>
          <w:bCs/>
        </w:rPr>
        <w:t xml:space="preserve">41.</w:t>
      </w:r>
      <w:r>
        <w:t xml:space="preserve"> </w:t>
      </w:r>
      <w:r>
        <w:t xml:space="preserve">The influence of individual indices on stock perception warrants specific attention alongside the question of which indices to retain. The Chilean acoustic survey (</w:t>
      </w:r>
      <w:r>
        <w:rPr>
          <w:rStyle w:val="VerbatimChar"/>
        </w:rPr>
        <w:t xml:space="preserve">Chile_AcousN</w:t>
      </w:r>
      <w:r>
        <w:t xml:space="preserve">) in particular can strongly influence estimates of current stock status and recent recruitment, depending on the time period and the weight given to that series. A leave-one-out analysis — treating the full index set and each successive alternative configuration as separate robustness operating models — would allow MSE to probe sensitivity to individual indices without committing to a single reduced set as the canonical operating model. The leave-one-out approach should therefore be identified as a robustness axis in the MSE operating model grid, complementing the baseline reduced-index run represented by</w:t>
      </w:r>
      <w:r>
        <w:t xml:space="preserve"> </w:t>
      </w:r>
      <w:r>
        <w:rPr>
          <w:rStyle w:val="VerbatimChar"/>
        </w:rPr>
        <w:t xml:space="preserve">h1_2.00</w:t>
      </w:r>
      <w:r>
        <w:t xml:space="preserve">.</w:t>
      </w:r>
    </w:p>
    <w:bookmarkEnd w:id="39"/>
    <w:bookmarkStart w:id="108" w:name="simplified-selectivity-alternatives"/>
    <w:p>
      <w:pPr>
        <w:pStyle w:val="Heading2"/>
      </w:pPr>
      <w:r>
        <w:t xml:space="preserve">6.2 Simplified Selectivity Alternatives</w:t>
      </w:r>
    </w:p>
    <w:p>
      <w:pPr>
        <w:pStyle w:val="FirstParagraph"/>
      </w:pPr>
      <w:r>
        <w:rPr>
          <w:b/>
          <w:bCs/>
        </w:rPr>
        <w:t xml:space="preserve">42.</w:t>
      </w:r>
      <w:r>
        <w:t xml:space="preserve"> </w:t>
      </w:r>
      <w:r>
        <w:t xml:space="preserve">Selectivity specification is the most important source of structural uncertainty in the SC13 base model, i</w:t>
      </w:r>
      <w:r>
        <w:t xml:space="preserve"> </w:t>
      </w:r>
      <w:r>
        <w:t xml:space="preserve">and its treatment in the MSE operating model deserves the most careful consideration of any of the simplification choices discussed in this paper. Two related but distinct dimensions of selectivity need to be addressed.</w:t>
      </w:r>
    </w:p>
    <w:p>
      <w:pPr>
        <w:pStyle w:val="BodyText"/>
      </w:pPr>
      <w:r>
        <w:rPr>
          <w:b/>
          <w:bCs/>
        </w:rPr>
        <w:t xml:space="preserve">43.</w:t>
      </w:r>
      <w:r>
        <w:t xml:space="preserve"> </w:t>
      </w:r>
      <w:r>
        <w:rPr>
          <w:b/>
          <w:bCs/>
        </w:rPr>
        <w:t xml:space="preserve">Within-model selectivity structure.</w:t>
      </w:r>
      <w:r>
        <w:t xml:space="preserve"> </w:t>
      </w:r>
      <w:r>
        <w:t xml:space="preserve">The first dimension is the selectivity structure used during model fitting. One option is to replace long annual selectivity histories with a limited set of blocks for each fleet — for example a historical block, a modern block, and a current block. This preserves the broad evidence that fishery selectivity has changed over time while avoiding dozens of annual deviations that are difficult to interpret and project forward. Block-based selectivity is recommended as the primary simplified alternative for the MSE operating models. It provides an interpretable and tractable representation of selectivity change without the parameter proliferation of annual non-parametric estimation.</w:t>
      </w:r>
    </w:p>
    <w:bookmarkStart w:id="107" w:name="X518721fe55853f821d30f8adb270621fb439ada"/>
    <w:p>
      <w:pPr>
        <w:pStyle w:val="Heading3"/>
      </w:pPr>
      <w:r>
        <w:t xml:space="preserve">Selectivity Time-Block Reduction by Fleet</w:t>
      </w:r>
    </w:p>
    <w:p>
      <w:pPr>
        <w:pStyle w:val="FirstParagraph"/>
      </w:pPr>
      <w:r>
        <w:rPr>
          <w:b/>
          <w:bCs/>
        </w:rPr>
        <w:t xml:space="preserve">44.</w:t>
      </w:r>
      <w:r>
        <w:t xml:space="preserve"> </w:t>
      </w:r>
      <w:r>
        <w:t xml:space="preserve">Using the age-composition tables (Annex Tables 3-5) and the selectivity heatmaps (Annex Figures 37-38), it is possible to define time blocks where the age pattern, as a proxy for selectivity-at-age, is broadly stable for each fleet. The reduction below follows the main regime shifts visible in the data and is broadly consistent with how the current model already treats selectivity in some components.</w:t>
      </w:r>
    </w:p>
    <w:bookmarkStart w:id="40" w:name="fleet-1-north-chile"/>
    <w:p>
      <w:pPr>
        <w:pStyle w:val="Heading4"/>
      </w:pPr>
      <w:r>
        <w:t xml:space="preserve">Fleet 1 — North Chile</w:t>
      </w:r>
    </w:p>
    <w:p>
      <w:pPr>
        <w:pStyle w:val="FirstParagraph"/>
      </w:pPr>
      <w:r>
        <w:rPr>
          <w:b/>
          <w:bCs/>
        </w:rPr>
        <w:t xml:space="preserve">45.</w:t>
      </w:r>
      <w:r>
        <w:t xml:space="preserve"> </w:t>
      </w:r>
      <w:r>
        <w:t xml:space="preserve">The following suggested blocks (based on age comps in Table 3 of the Annex) for this fleet are:</w:t>
      </w:r>
    </w:p>
    <w:p>
      <w:pPr>
        <w:pStyle w:val="Compact"/>
        <w:numPr>
          <w:ilvl w:val="0"/>
          <w:numId w:val="1004"/>
        </w:numPr>
      </w:pPr>
      <w:r>
        <w:rPr>
          <w:b/>
          <w:bCs/>
        </w:rPr>
        <w:t xml:space="preserve">1980-1986</w:t>
      </w:r>
      <w:r>
        <w:t xml:space="preserve">: Broad dome, peaking around ages 4-6.</w:t>
      </w:r>
    </w:p>
    <w:p>
      <w:pPr>
        <w:pStyle w:val="Compact"/>
        <w:numPr>
          <w:ilvl w:val="0"/>
          <w:numId w:val="1004"/>
        </w:numPr>
      </w:pPr>
      <w:r>
        <w:rPr>
          <w:b/>
          <w:bCs/>
        </w:rPr>
        <w:t xml:space="preserve">1987-1999</w:t>
      </w:r>
      <w:r>
        <w:t xml:space="preserve">: Strong shift toward young ages, with ages 1-2 dominant.</w:t>
      </w:r>
    </w:p>
    <w:p>
      <w:pPr>
        <w:pStyle w:val="Compact"/>
        <w:numPr>
          <w:ilvl w:val="0"/>
          <w:numId w:val="1004"/>
        </w:numPr>
      </w:pPr>
      <w:r>
        <w:rPr>
          <w:b/>
          <w:bCs/>
        </w:rPr>
        <w:t xml:space="preserve">2000-2015</w:t>
      </w:r>
      <w:r>
        <w:t xml:space="preserve">: Persistent very young selectivity, again centered on ages 1-2.</w:t>
      </w:r>
    </w:p>
    <w:p>
      <w:pPr>
        <w:pStyle w:val="Compact"/>
        <w:numPr>
          <w:ilvl w:val="0"/>
          <w:numId w:val="1004"/>
        </w:numPr>
      </w:pPr>
      <w:r>
        <w:rPr>
          <w:b/>
          <w:bCs/>
        </w:rPr>
        <w:t xml:space="preserve">2016-2025</w:t>
      </w:r>
      <w:r>
        <w:t xml:space="preserve">: Transition toward older ages, with ages 4-8 increasing.</w:t>
      </w:r>
    </w:p>
    <w:p>
      <w:pPr>
        <w:pStyle w:val="FirstParagraph"/>
      </w:pPr>
      <w:r>
        <w:rPr>
          <w:b/>
          <w:bCs/>
        </w:rPr>
        <w:t xml:space="preserve">46.</w:t>
      </w:r>
      <w:r>
        <w:t xml:space="preserve"> </w:t>
      </w:r>
      <w:r>
        <w:t xml:space="preserve">The main structural breaks for this fleet are around 1987 and 2016, which is also consistent with the increase in mean age shown in Annex Figure 31.</w:t>
      </w:r>
    </w:p>
    <w:bookmarkEnd w:id="40"/>
    <w:bookmarkStart w:id="41" w:name="fleet-2-south-central-chile"/>
    <w:p>
      <w:pPr>
        <w:pStyle w:val="Heading4"/>
      </w:pPr>
      <w:r>
        <w:t xml:space="preserve">Fleet 2 — South-Central Chile</w:t>
      </w:r>
    </w:p>
    <w:p>
      <w:pPr>
        <w:pStyle w:val="FirstParagraph"/>
      </w:pPr>
      <w:r>
        <w:rPr>
          <w:b/>
          <w:bCs/>
        </w:rPr>
        <w:t xml:space="preserve">47.</w:t>
      </w:r>
      <w:r>
        <w:t xml:space="preserve"> </w:t>
      </w:r>
      <w:r>
        <w:t xml:space="preserve">The following suggested blocks (based on age comps in Table 4 of the Annex) for this fleet are:</w:t>
      </w:r>
    </w:p>
    <w:p>
      <w:pPr>
        <w:pStyle w:val="Compact"/>
        <w:numPr>
          <w:ilvl w:val="0"/>
          <w:numId w:val="1005"/>
        </w:numPr>
      </w:pPr>
      <w:r>
        <w:rPr>
          <w:b/>
          <w:bCs/>
        </w:rPr>
        <w:t xml:space="preserve">1980-1989</w:t>
      </w:r>
      <w:r>
        <w:t xml:space="preserve">: Peak ages are around 3-5.</w:t>
      </w:r>
    </w:p>
    <w:p>
      <w:pPr>
        <w:pStyle w:val="Compact"/>
        <w:numPr>
          <w:ilvl w:val="0"/>
          <w:numId w:val="1005"/>
        </w:numPr>
      </w:pPr>
      <w:r>
        <w:rPr>
          <w:b/>
          <w:bCs/>
        </w:rPr>
        <w:t xml:space="preserve">1990-2004</w:t>
      </w:r>
      <w:r>
        <w:t xml:space="preserve">: Gradual right-shift, with ages 5-8 becoming more important.</w:t>
      </w:r>
    </w:p>
    <w:p>
      <w:pPr>
        <w:pStyle w:val="Compact"/>
        <w:numPr>
          <w:ilvl w:val="0"/>
          <w:numId w:val="1005"/>
        </w:numPr>
      </w:pPr>
      <w:r>
        <w:rPr>
          <w:b/>
          <w:bCs/>
        </w:rPr>
        <w:t xml:space="preserve">2005-2013</w:t>
      </w:r>
      <w:r>
        <w:t xml:space="preserve">: Broad and relatively flat selectivity across ages 4-8.</w:t>
      </w:r>
    </w:p>
    <w:p>
      <w:pPr>
        <w:pStyle w:val="Compact"/>
        <w:numPr>
          <w:ilvl w:val="0"/>
          <w:numId w:val="1005"/>
        </w:numPr>
      </w:pPr>
      <w:r>
        <w:rPr>
          <w:b/>
          <w:bCs/>
        </w:rPr>
        <w:t xml:space="preserve">2014-2025</w:t>
      </w:r>
      <w:r>
        <w:t xml:space="preserve">: Clear dominance of older fish, especially ages 5-9.</w:t>
      </w:r>
    </w:p>
    <w:p>
      <w:pPr>
        <w:pStyle w:val="FirstParagraph"/>
      </w:pPr>
      <w:r>
        <w:rPr>
          <w:b/>
          <w:bCs/>
        </w:rPr>
        <w:t xml:space="preserve">48.</w:t>
      </w:r>
      <w:r>
        <w:t xml:space="preserve"> </w:t>
      </w:r>
      <w:r>
        <w:t xml:space="preserve">These blocks are consistent with the gradual aging trend noted elsewhere in the report, including the increase in mean age over the last decade.</w:t>
      </w:r>
    </w:p>
    <w:bookmarkEnd w:id="41"/>
    <w:bookmarkStart w:id="42" w:name="fleet-3-far-north"/>
    <w:p>
      <w:pPr>
        <w:pStyle w:val="Heading4"/>
      </w:pPr>
      <w:r>
        <w:t xml:space="preserve">Fleet 3 — Far North</w:t>
      </w:r>
    </w:p>
    <w:p>
      <w:pPr>
        <w:pStyle w:val="FirstParagraph"/>
      </w:pPr>
      <w:r>
        <w:rPr>
          <w:b/>
          <w:bCs/>
        </w:rPr>
        <w:t xml:space="preserve">49.</w:t>
      </w:r>
      <w:r>
        <w:t xml:space="preserve"> </w:t>
      </w:r>
      <w:r>
        <w:t xml:space="preserve">The following suggested blocks (based on the length-composition pattern in Table 6 of the Annex, translated to implied age selectivity) for this fleet are:</w:t>
      </w:r>
    </w:p>
    <w:p>
      <w:pPr>
        <w:pStyle w:val="Compact"/>
        <w:numPr>
          <w:ilvl w:val="0"/>
          <w:numId w:val="1006"/>
        </w:numPr>
      </w:pPr>
      <w:r>
        <w:rPr>
          <w:b/>
          <w:bCs/>
        </w:rPr>
        <w:t xml:space="preserve">1980-1995</w:t>
      </w:r>
      <w:r>
        <w:t xml:space="preserve">: Stable mid-length pattern corresponding roughly to ages 4-7.</w:t>
      </w:r>
    </w:p>
    <w:p>
      <w:pPr>
        <w:pStyle w:val="Compact"/>
        <w:numPr>
          <w:ilvl w:val="0"/>
          <w:numId w:val="1006"/>
        </w:numPr>
      </w:pPr>
      <w:r>
        <w:rPr>
          <w:b/>
          <w:bCs/>
        </w:rPr>
        <w:t xml:space="preserve">1996-2004</w:t>
      </w:r>
      <w:r>
        <w:t xml:space="preserve">: Modest shift toward smaller fish.</w:t>
      </w:r>
    </w:p>
    <w:p>
      <w:pPr>
        <w:pStyle w:val="Compact"/>
        <w:numPr>
          <w:ilvl w:val="0"/>
          <w:numId w:val="1006"/>
        </w:numPr>
      </w:pPr>
      <w:r>
        <w:rPr>
          <w:b/>
          <w:bCs/>
        </w:rPr>
        <w:t xml:space="preserve">2005-2013</w:t>
      </w:r>
      <w:r>
        <w:t xml:space="preserve">: Higher variability with mixed modes.</w:t>
      </w:r>
    </w:p>
    <w:p>
      <w:pPr>
        <w:pStyle w:val="Compact"/>
        <w:numPr>
          <w:ilvl w:val="0"/>
          <w:numId w:val="1006"/>
        </w:numPr>
      </w:pPr>
      <w:r>
        <w:rPr>
          <w:b/>
          <w:bCs/>
        </w:rPr>
        <w:t xml:space="preserve">2014-2025</w:t>
      </w:r>
      <w:r>
        <w:t xml:space="preserve">: Shift toward larger and therefore older fish.</w:t>
      </w:r>
    </w:p>
    <w:p>
      <w:pPr>
        <w:pStyle w:val="FirstParagraph"/>
      </w:pPr>
      <w:r>
        <w:rPr>
          <w:b/>
          <w:bCs/>
        </w:rPr>
        <w:t xml:space="preserve">50.</w:t>
      </w:r>
      <w:r>
        <w:t xml:space="preserve"> </w:t>
      </w:r>
      <w:r>
        <w:t xml:space="preserve">This is notable because the current</w:t>
      </w:r>
      <w:r>
        <w:t xml:space="preserve"> </w:t>
      </w:r>
      <w:r>
        <w:rPr>
          <w:rStyle w:val="VerbatimChar"/>
        </w:rPr>
        <w:t xml:space="preserve">h2</w:t>
      </w:r>
      <w:r>
        <w:t xml:space="preserve"> </w:t>
      </w:r>
      <w:r>
        <w:t xml:space="preserve">treatment already uses a simplified two-regime split around 2002, but the data suggest somewhat finer structure could be supported.</w:t>
      </w:r>
    </w:p>
    <w:bookmarkEnd w:id="42"/>
    <w:bookmarkStart w:id="43" w:name="fleet-4-offshore-trawl"/>
    <w:p>
      <w:pPr>
        <w:pStyle w:val="Heading4"/>
      </w:pPr>
      <w:r>
        <w:t xml:space="preserve">Fleet 4 — Offshore trawl</w:t>
      </w:r>
    </w:p>
    <w:p>
      <w:pPr>
        <w:pStyle w:val="FirstParagraph"/>
      </w:pPr>
      <w:r>
        <w:rPr>
          <w:b/>
          <w:bCs/>
        </w:rPr>
        <w:t xml:space="preserve">51.</w:t>
      </w:r>
      <w:r>
        <w:t xml:space="preserve"> </w:t>
      </w:r>
      <w:r>
        <w:t xml:space="preserve">The following suggested blocks (based on age comps in Table 5 of the Annex) for this fleet are:</w:t>
      </w:r>
    </w:p>
    <w:p>
      <w:pPr>
        <w:pStyle w:val="Compact"/>
        <w:numPr>
          <w:ilvl w:val="0"/>
          <w:numId w:val="1007"/>
        </w:numPr>
      </w:pPr>
      <w:r>
        <w:rPr>
          <w:b/>
          <w:bCs/>
        </w:rPr>
        <w:t xml:space="preserve">2015-2017</w:t>
      </w:r>
      <w:r>
        <w:t xml:space="preserve">: Mixed ages, including some older fish.</w:t>
      </w:r>
    </w:p>
    <w:p>
      <w:pPr>
        <w:pStyle w:val="Compact"/>
        <w:numPr>
          <w:ilvl w:val="0"/>
          <w:numId w:val="1007"/>
        </w:numPr>
      </w:pPr>
      <w:r>
        <w:rPr>
          <w:b/>
          <w:bCs/>
        </w:rPr>
        <w:t xml:space="preserve">2018-2020</w:t>
      </w:r>
      <w:r>
        <w:t xml:space="preserve">: Shift toward younger fish, especially ages 2-4.</w:t>
      </w:r>
    </w:p>
    <w:p>
      <w:pPr>
        <w:pStyle w:val="Compact"/>
        <w:numPr>
          <w:ilvl w:val="0"/>
          <w:numId w:val="1007"/>
        </w:numPr>
      </w:pPr>
      <w:r>
        <w:rPr>
          <w:b/>
          <w:bCs/>
        </w:rPr>
        <w:t xml:space="preserve">2021-2025</w:t>
      </w:r>
      <w:r>
        <w:t xml:space="preserve">: Strong young-fish dominance, including a pronounced age-2 spike.</w:t>
      </w:r>
    </w:p>
    <w:p>
      <w:pPr>
        <w:pStyle w:val="FirstParagraph"/>
      </w:pPr>
      <w:r>
        <w:rPr>
          <w:b/>
          <w:bCs/>
        </w:rPr>
        <w:t xml:space="preserve">52.</w:t>
      </w:r>
      <w:r>
        <w:t xml:space="preserve"> </w:t>
      </w:r>
      <w:r>
        <w:t xml:space="preserve">These changes are consistent with the recent selectivity changes noted in the SC13 sensitivity runs.</w:t>
      </w:r>
    </w:p>
    <w:bookmarkEnd w:id="43"/>
    <w:bookmarkStart w:id="44" w:name="cross-fleet-simplification"/>
    <w:p>
      <w:pPr>
        <w:pStyle w:val="Heading4"/>
      </w:pPr>
      <w:r>
        <w:t xml:space="preserve">Cross-Fleet Simplification</w:t>
      </w:r>
    </w:p>
    <w:p>
      <w:pPr>
        <w:pStyle w:val="FirstParagraph"/>
      </w:pPr>
      <w:r>
        <w:rPr>
          <w:b/>
          <w:bCs/>
        </w:rPr>
        <w:t xml:space="preserve">53.</w:t>
      </w:r>
      <w:r>
        <w:t xml:space="preserve"> </w:t>
      </w:r>
      <w:r>
        <w:t xml:space="preserve">If a more parsimonious common structure is preferred, a shared set of broad periods could be:</w:t>
      </w:r>
    </w:p>
    <w:p>
      <w:pPr>
        <w:pStyle w:val="Compact"/>
        <w:numPr>
          <w:ilvl w:val="0"/>
          <w:numId w:val="1008"/>
        </w:numPr>
      </w:pPr>
      <w:r>
        <w:rPr>
          <w:b/>
          <w:bCs/>
        </w:rPr>
        <w:t xml:space="preserve">Pre-1990</w:t>
      </w:r>
    </w:p>
    <w:p>
      <w:pPr>
        <w:pStyle w:val="Compact"/>
        <w:numPr>
          <w:ilvl w:val="0"/>
          <w:numId w:val="1008"/>
        </w:numPr>
      </w:pPr>
      <w:r>
        <w:rPr>
          <w:b/>
          <w:bCs/>
        </w:rPr>
        <w:t xml:space="preserve">1990-2004</w:t>
      </w:r>
    </w:p>
    <w:p>
      <w:pPr>
        <w:pStyle w:val="Compact"/>
        <w:numPr>
          <w:ilvl w:val="0"/>
          <w:numId w:val="1008"/>
        </w:numPr>
      </w:pPr>
      <w:r>
        <w:rPr>
          <w:b/>
          <w:bCs/>
        </w:rPr>
        <w:t xml:space="preserve">2005-2015</w:t>
      </w:r>
    </w:p>
    <w:p>
      <w:pPr>
        <w:pStyle w:val="Compact"/>
        <w:numPr>
          <w:ilvl w:val="0"/>
          <w:numId w:val="1008"/>
        </w:numPr>
      </w:pPr>
      <w:r>
        <w:rPr>
          <w:b/>
          <w:bCs/>
        </w:rPr>
        <w:t xml:space="preserve">2016-present</w:t>
      </w:r>
    </w:p>
    <w:p>
      <w:pPr>
        <w:pStyle w:val="FirstParagraph"/>
      </w:pPr>
      <w:r>
        <w:rPr>
          <w:b/>
          <w:bCs/>
        </w:rPr>
        <w:t xml:space="preserve">54.</w:t>
      </w:r>
      <w:r>
        <w:t xml:space="preserve"> </w:t>
      </w:r>
      <w:r>
        <w:t xml:space="preserve">This common structure could then be supplemented with:</w:t>
      </w:r>
    </w:p>
    <w:p>
      <w:pPr>
        <w:pStyle w:val="Compact"/>
        <w:numPr>
          <w:ilvl w:val="0"/>
          <w:numId w:val="1009"/>
        </w:numPr>
      </w:pPr>
      <w:r>
        <w:t xml:space="preserve">fleet-specific deviations, for example through random effects or a low-rank representation; and</w:t>
      </w:r>
    </w:p>
    <w:p>
      <w:pPr>
        <w:pStyle w:val="Compact"/>
        <w:numPr>
          <w:ilvl w:val="0"/>
          <w:numId w:val="1009"/>
        </w:numPr>
      </w:pPr>
      <w:r>
        <w:t xml:space="preserve">extra flexibility for Fleet 4 after 2018, where the short series suggests sharper recent changes.</w:t>
      </w:r>
    </w:p>
    <w:bookmarkEnd w:id="44"/>
    <w:bookmarkStart w:id="45" w:name="key-insight"/>
    <w:p>
      <w:pPr>
        <w:pStyle w:val="Heading4"/>
      </w:pPr>
      <w:r>
        <w:t xml:space="preserve">Key Insight</w:t>
      </w:r>
    </w:p>
    <w:p>
      <w:pPr>
        <w:pStyle w:val="FirstParagraph"/>
      </w:pPr>
      <w:r>
        <w:rPr>
          <w:b/>
          <w:bCs/>
        </w:rPr>
        <w:t xml:space="preserve">55.</w:t>
      </w:r>
      <w:r>
        <w:t xml:space="preserve"> </w:t>
      </w:r>
      <w:r>
        <w:t xml:space="preserve">Across fleets, the main broad pattern is a recent shift toward older fish after about 2015, with the offshore fleet as the main exception because it shows more recent spikes in younger selectivity.</w:t>
      </w:r>
    </w:p>
    <w:p>
      <w:pPr>
        <w:pStyle w:val="BodyText"/>
      </w:pPr>
      <w:r>
        <w:rPr>
          <w:b/>
          <w:bCs/>
        </w:rPr>
        <w:t xml:space="preserve">56.</w:t>
      </w:r>
      <w:r>
        <w:t xml:space="preserve"> </w:t>
      </w:r>
      <w:r>
        <w:t xml:space="preserve">The clearest global breakpoints appear to be:</w:t>
      </w:r>
    </w:p>
    <w:p>
      <w:pPr>
        <w:pStyle w:val="Compact"/>
        <w:numPr>
          <w:ilvl w:val="0"/>
          <w:numId w:val="1010"/>
        </w:numPr>
      </w:pPr>
      <w:r>
        <w:rPr>
          <w:b/>
          <w:bCs/>
        </w:rPr>
        <w:t xml:space="preserve">1987-1990</w:t>
      </w:r>
      <w:r>
        <w:t xml:space="preserve">: collapse period associated with younger fish;</w:t>
      </w:r>
    </w:p>
    <w:p>
      <w:pPr>
        <w:pStyle w:val="Compact"/>
        <w:numPr>
          <w:ilvl w:val="0"/>
          <w:numId w:val="1010"/>
        </w:numPr>
      </w:pPr>
      <w:r>
        <w:rPr>
          <w:b/>
          <w:bCs/>
        </w:rPr>
        <w:t xml:space="preserve">around 2000</w:t>
      </w:r>
      <w:r>
        <w:t xml:space="preserve">: a stabilization period; and</w:t>
      </w:r>
    </w:p>
    <w:p>
      <w:pPr>
        <w:pStyle w:val="Compact"/>
        <w:numPr>
          <w:ilvl w:val="0"/>
          <w:numId w:val="1010"/>
        </w:numPr>
      </w:pPr>
      <w:r>
        <w:rPr>
          <w:b/>
          <w:bCs/>
        </w:rPr>
        <w:t xml:space="preserve">2015-2016</w:t>
      </w:r>
      <w:r>
        <w:t xml:space="preserve">: an aging or structural shift.</w:t>
      </w:r>
    </w:p>
    <w:p>
      <w:pPr>
        <w:pStyle w:val="FirstParagraph"/>
      </w:pPr>
      <w:r>
        <w:rPr>
          <w:b/>
          <w:bCs/>
        </w:rPr>
        <w:t xml:space="preserve">57.</w:t>
      </w:r>
      <w:r>
        <w:t xml:space="preserve"> </w:t>
      </w:r>
      <w:r>
        <w:t xml:space="preserve">These broad breakpoints also align with changes in fishing pressure, the stock rebuilding phase, and the model note that recent selectivity favors older fish.</w:t>
      </w:r>
    </w:p>
    <w:bookmarkEnd w:id="45"/>
    <w:bookmarkStart w:id="106" w:name="illustrative-fit-with-selectivity-blocks"/>
    <w:p>
      <w:pPr>
        <w:pStyle w:val="Heading4"/>
      </w:pPr>
      <w:r>
        <w:t xml:space="preserve">Illustrative fit with selectivity blocks</w:t>
      </w:r>
    </w:p>
    <w:p>
      <w:pPr>
        <w:pStyle w:val="FirstParagraph"/>
      </w:pPr>
      <w:r>
        <w:rPr>
          <w:b/>
          <w:bCs/>
        </w:rPr>
        <w:t xml:space="preserve">58.</w:t>
      </w:r>
      <w:r>
        <w:t xml:space="preserve"> </w:t>
      </w:r>
      <w:r>
        <w:t xml:space="preserve">To illustrate the effect of imposing the proposed fleet-specific selectivity blocks, I fitted a reduced-index sensitivity with those block years hard-coded in the fishery selectivity specification. The resulting run is represented here by</w:t>
      </w:r>
      <w:r>
        <w:t xml:space="preserve"> </w:t>
      </w:r>
      <w:r>
        <w:rPr>
          <w:rStyle w:val="VerbatimChar"/>
        </w:rPr>
        <w:t xml:space="preserve">h1_2.01</w:t>
      </w:r>
      <w:r>
        <w:t xml:space="preserve">, which keeps the reduced-index data configuration of</w:t>
      </w:r>
      <w:r>
        <w:t xml:space="preserve"> </w:t>
      </w:r>
      <w:r>
        <w:rPr>
          <w:rStyle w:val="VerbatimChar"/>
        </w:rPr>
        <w:t xml:space="preserve">h1_2.00</w:t>
      </w:r>
      <w:r>
        <w:t xml:space="preserve"> </w:t>
      </w:r>
      <w:r>
        <w:t xml:space="preserve">but replaces the long annual selectivity histories with the fleet-specific blocks proposed above. The side-by-side selectivity panels in</w:t>
      </w:r>
      <w:r>
        <w:t xml:space="preserve"> </w:t>
      </w:r>
      <w:hyperlink w:anchor="fig-selectivity-fishery-compare">
        <w:r>
          <w:rPr>
            <w:rStyle w:val="Hyperlink"/>
          </w:rPr>
          <w:t xml:space="preserve">Figure 3</w:t>
        </w:r>
      </w:hyperlink>
      <w:r>
        <w:t xml:space="preserve"> </w:t>
      </w:r>
      <w:r>
        <w:t xml:space="preserve">show directly how the fishery selectivity surface changes when the annual histories in</w:t>
      </w:r>
      <w:r>
        <w:t xml:space="preserve"> </w:t>
      </w:r>
      <w:r>
        <w:rPr>
          <w:rStyle w:val="VerbatimChar"/>
        </w:rPr>
        <w:t xml:space="preserve">h1_2.00</w:t>
      </w:r>
      <w:r>
        <w:t xml:space="preserve"> </w:t>
      </w:r>
      <w:r>
        <w:t xml:space="preserve">are replaced by the simplified block structure in</w:t>
      </w:r>
      <w:r>
        <w:t xml:space="preserve"> </w:t>
      </w:r>
      <w:r>
        <w:rPr>
          <w:rStyle w:val="VerbatimChar"/>
        </w:rPr>
        <w:t xml:space="preserve">h1_2.01</w:t>
      </w:r>
      <w:r>
        <w:t xml:space="preserve">.</w:t>
      </w:r>
    </w:p>
    <w:bookmarkStart w:id="54" w:name="fig-selectivity-fishery-compare"/>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49" w:name="fig-selectivity-fishery-compare-1"/>
                <w:p>
                  <w:pPr>
                    <w:pStyle w:val="Compact"/>
                    <w:jc w:val="center"/>
                    <w:jc w:val="left"/>
                  </w:pPr>
                  <w:r>
                    <w:drawing>
                      <wp:inline>
                        <wp:extent cx="2971800" cy="4754880"/>
                        <wp:effectExtent b="0" l="0" r="0" t="0"/>
                        <wp:docPr descr="" title="" id="47" name="Picture"/>
                        <a:graphic>
                          <a:graphicData uri="http://schemas.openxmlformats.org/drawingml/2006/picture">
                            <pic:pic>
                              <pic:nvPicPr>
                                <pic:cNvPr descr="SCW16-Paper-01_files/figure-docx/fig-selectivity-fishery-compare-1.png" id="48" name="Picture"/>
                                <pic:cNvPicPr>
                                  <a:picLocks noChangeArrowheads="1" noChangeAspect="1"/>
                                </pic:cNvPicPr>
                              </pic:nvPicPr>
                              <pic:blipFill>
                                <a:blip r:embed="rId46"/>
                                <a:stretch>
                                  <a:fillRect/>
                                </a:stretch>
                              </pic:blipFill>
                              <pic:spPr bwMode="auto">
                                <a:xfrm>
                                  <a:off x="0" y="0"/>
                                  <a:ext cx="2971800" cy="4754880"/>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(a) Model</w:t>
                  </w:r>
                  <w:r>
                    <w:t xml:space="preserve"> </w:t>
                  </w:r>
                  <w:r>
                    <w:rPr>
                      <w:rStyle w:val="VerbatimChar"/>
                    </w:rPr>
                    <w:t xml:space="preserve">h1_2.00</w:t>
                  </w:r>
                </w:p>
                <w:bookmarkEnd w:id="49"/>
              </w:tc>
            </w:tr>
          </w:tbl>
          <w:p/>
        </w:tc>
        <w:tc>
          <w:tcPr/>
          <w:tbl>
            <w:tblPr>
              <w:tblStyle w:val="Table"/>
              <w:tblW w:type="pct" w:w="4900"/>
              <w:tblLayout w:type="fixed"/>
              <w:tblLook w:firstRow="0" w:lastRow="0" w:firstColumn="0" w:lastColumn="0" w:noHBand="0" w:noVBand="0" w:val="0000"/>
            </w:tblPr>
            <w:tblGrid>
              <w:gridCol w:w="7761"/>
            </w:tblGrid>
            <w:tr>
              <w:tc>
                <w:tcPr/>
                <w:bookmarkStart w:id="53" w:name="fig-selectivity-fishery-compare-2"/>
                <w:p>
                  <w:pPr>
                    <w:pStyle w:val="Compact"/>
                    <w:jc w:val="center"/>
                    <w:jc w:val="left"/>
                  </w:pPr>
                  <w:r>
                    <w:drawing>
                      <wp:inline>
                        <wp:extent cx="2971800" cy="4754880"/>
                        <wp:effectExtent b="0" l="0" r="0" t="0"/>
                        <wp:docPr descr="" title="" id="51" name="Picture"/>
                        <a:graphic>
                          <a:graphicData uri="http://schemas.openxmlformats.org/drawingml/2006/picture">
                            <pic:pic>
                              <pic:nvPicPr>
                                <pic:cNvPr descr="SCW16-Paper-01_files/figure-docx/fig-selectivity-fishery-compare-2.png" id="52" name="Picture"/>
                                <pic:cNvPicPr>
                                  <a:picLocks noChangeArrowheads="1" noChangeAspect="1"/>
                                </pic:cNvPicPr>
                              </pic:nvPicPr>
                              <pic:blipFill>
                                <a:blip r:embed="rId50"/>
                                <a:stretch>
                                  <a:fillRect/>
                                </a:stretch>
                              </pic:blipFill>
                              <pic:spPr bwMode="auto">
                                <a:xfrm>
                                  <a:off x="0" y="0"/>
                                  <a:ext cx="2971800" cy="4754880"/>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(b) Model</w:t>
                  </w:r>
                  <w:r>
                    <w:t xml:space="preserve"> </w:t>
                  </w:r>
                  <w:r>
                    <w:rPr>
                      <w:rStyle w:val="VerbatimChar"/>
                    </w:rPr>
                    <w:t xml:space="preserve">h1_2.01</w:t>
                  </w:r>
                </w:p>
                <w:bookmarkEnd w:id="53"/>
              </w:tc>
            </w:tr>
          </w:tbl>
          <w:p/>
        </w:tc>
      </w:tr>
    </w:tbl>
    <w:p>
      <w:pPr>
        <w:pStyle w:val="BodyText"/>
      </w:pPr>
      <w:pPr>
        <w:spacing w:before="200"/>
        <w:pStyle w:val="ImageCaption"/>
      </w:pPr>
      <w:r>
        <w:t xml:space="preserve">Figure 3: Estimates of selectivity by fishery over time for Models</w:t>
      </w:r>
      <w:r>
        <w:t xml:space="preserve"> </w:t>
      </w:r>
      <w:r>
        <w:rPr>
          <w:rStyle w:val="VerbatimChar"/>
        </w:rPr>
        <w:t xml:space="preserve">h1_2.00</w:t>
      </w:r>
      <w:r>
        <w:t xml:space="preserve"> </w:t>
      </w:r>
      <w:r>
        <w:t xml:space="preserve">and</w:t>
      </w:r>
      <w:r>
        <w:t xml:space="preserve"> </w:t>
      </w:r>
      <w:r>
        <w:rPr>
          <w:rStyle w:val="VerbatimChar"/>
        </w:rPr>
        <w:t xml:space="preserve">h1_2.01</w:t>
      </w:r>
      <w:r>
        <w:t xml:space="preserve">, shown in the same style as Figure 37 of the SC13 Jack Mackerel Technical Annex</w:t>
      </w:r>
      <w:r>
        <w:t xml:space="preserve"> </w:t>
      </w:r>
      <w:r>
        <w:t xml:space="preserve">(SPRFMO Scientific Committee, 2025)</w:t>
      </w:r>
      <w:r>
        <w:t xml:space="preserve">.</w:t>
      </w:r>
    </w:p>
    <w:bookmarkEnd w:id="54"/>
    <w:tbl>
      <w:tblPr>
        <w:tblStyle w:val="Table"/>
        <w:tblW w:type="pct" w:w="5000"/>
        <w:tblLayout w:type="fixed"/>
        <w:tblLook w:firstRow="0" w:lastRow="0" w:firstColumn="0" w:lastColumn="0" w:noHBand="0" w:noVBand="0" w:val="0000"/>
      </w:tblPr>
      <w:tblGrid>
        <w:gridCol w:w="7920"/>
      </w:tblGrid>
      <w:tr>
        <w:tc>
          <w:tcPr/>
          <w:bookmarkStart w:id="58" w:name="fig-selectivity-blocks-ssb"/>
          <w:p>
            <w:pPr>
              <w:pStyle w:val="Compact"/>
              <w:jc w:val="center"/>
            </w:pPr>
            <w:r>
              <w:drawing>
                <wp:inline>
                  <wp:extent cx="5334000" cy="3194843"/>
                  <wp:effectExtent b="0" l="0" r="0" t="0"/>
                  <wp:docPr descr="" title="" id="56" name="Picture"/>
                  <a:graphic>
                    <a:graphicData uri="http://schemas.openxmlformats.org/drawingml/2006/picture">
                      <pic:pic>
                        <pic:nvPicPr>
                          <pic:cNvPr descr="SCW16-Paper-01_files/figure-docx/fig-selectivity-blocks-ssb-1.png" id="57" name="Picture"/>
                          <pic:cNvPicPr>
                            <a:picLocks noChangeArrowheads="1" noChangeAspect="1"/>
                          </pic:cNvPicPr>
                        </pic:nvPicPr>
                        <pic:blipFill>
                          <a:blip r:embed="rId55"/>
                          <a:stretch>
                            <a:fillRect/>
                          </a:stretch>
                        </pic:blipFill>
                        <pic:spPr bwMode="auto">
                          <a:xfrm>
                            <a:off x="0" y="0"/>
                            <a:ext cx="5334000" cy="3194843"/>
                          </a:xfrm>
                          <a:prstGeom prst="rect">
                            <a:avLst/>
                          </a:prstGeom>
                          <a:noFill/>
                          <a:ln w="9525">
                            <a:noFill/>
                            <a:headEnd/>
                            <a:tailEnd/>
                          </a:ln>
                        </pic:spPr>
                      </pic:pic>
                    </a:graphicData>
                  </a:graphic>
                </wp:inline>
              </w:drawing>
            </w:r>
          </w:p>
          <w:p>
            <w:pPr>
              <w:jc w:val="center"/>
            </w:pPr>
            <w:pPr>
              <w:jc w:val="left"/>
              <w:spacing w:before="200"/>
              <w:pStyle w:val="ImageCaption"/>
            </w:pPr>
            <w:r>
              <w:t xml:space="preserve">Figure 4: Comparison of spawning biomass trajectories from the reduced-index sensitivity (</w:t>
            </w:r>
            <w:r>
              <w:rPr>
                <w:rStyle w:val="VerbatimChar"/>
              </w:rPr>
              <w:t xml:space="preserve">h1_2.00</w:t>
            </w:r>
            <w:r>
              <w:t xml:space="preserve">) and the reduced-index model with fleet-specific selectivity blocks (</w:t>
            </w:r>
            <w:r>
              <w:rPr>
                <w:rStyle w:val="VerbatimChar"/>
              </w:rPr>
              <w:t xml:space="preserve">h1_2.01</w:t>
            </w:r>
            <w:r>
              <w:t xml:space="preserve">).</w:t>
            </w:r>
          </w:p>
          <w:bookmarkEnd w:id="58"/>
        </w:tc>
      </w:tr>
    </w:tbl>
    <w:tbl>
      <w:tblPr>
        <w:tblStyle w:val="Table"/>
        <w:tblW w:type="pct" w:w="5000"/>
        <w:tblLayout w:type="fixed"/>
        <w:tblLook w:firstRow="0" w:lastRow="0" w:firstColumn="0" w:lastColumn="0" w:noHBand="0" w:noVBand="0" w:val="0000"/>
      </w:tblPr>
      <w:tblGrid>
        <w:gridCol w:w="7920"/>
      </w:tblGrid>
      <w:tr>
        <w:tc>
          <w:tcPr/>
          <w:bookmarkStart w:id="62" w:name="fig-selectivity-blocks-rec"/>
          <w:p>
            <w:pPr>
              <w:pStyle w:val="Compact"/>
              <w:jc w:val="center"/>
            </w:pPr>
            <w:r>
              <w:drawing>
                <wp:inline>
                  <wp:extent cx="5334000" cy="3194843"/>
                  <wp:effectExtent b="0" l="0" r="0" t="0"/>
                  <wp:docPr descr="" title="" id="60" name="Picture"/>
                  <a:graphic>
                    <a:graphicData uri="http://schemas.openxmlformats.org/drawingml/2006/picture">
                      <pic:pic>
                        <pic:nvPicPr>
                          <pic:cNvPr descr="SCW16-Paper-01_files/figure-docx/fig-selectivity-blocks-rec-1.png" id="61" name="Picture"/>
                          <pic:cNvPicPr>
                            <a:picLocks noChangeArrowheads="1" noChangeAspect="1"/>
                          </pic:cNvPicPr>
                        </pic:nvPicPr>
                        <pic:blipFill>
                          <a:blip r:embed="rId59"/>
                          <a:stretch>
                            <a:fillRect/>
                          </a:stretch>
                        </pic:blipFill>
                        <pic:spPr bwMode="auto">
                          <a:xfrm>
                            <a:off x="0" y="0"/>
                            <a:ext cx="5334000" cy="3194843"/>
                          </a:xfrm>
                          <a:prstGeom prst="rect">
                            <a:avLst/>
                          </a:prstGeom>
                          <a:noFill/>
                          <a:ln w="9525">
                            <a:noFill/>
                            <a:headEnd/>
                            <a:tailEnd/>
                          </a:ln>
                        </pic:spPr>
                      </pic:pic>
                    </a:graphicData>
                  </a:graphic>
                </wp:inline>
              </w:drawing>
            </w:r>
          </w:p>
          <w:p>
            <w:pPr>
              <w:jc w:val="center"/>
            </w:pPr>
            <w:pPr>
              <w:jc w:val="left"/>
              <w:spacing w:before="200"/>
              <w:pStyle w:val="ImageCaption"/>
            </w:pPr>
            <w:r>
              <w:t xml:space="preserve">Figure 5: Comparison of recruitment trajectories from the reduced-index sensitivity (</w:t>
            </w:r>
            <w:r>
              <w:rPr>
                <w:rStyle w:val="VerbatimChar"/>
              </w:rPr>
              <w:t xml:space="preserve">h1_2.00</w:t>
            </w:r>
            <w:r>
              <w:t xml:space="preserve">) and the reduced-index model with fleet-specific selectivity blocks (</w:t>
            </w:r>
            <w:r>
              <w:rPr>
                <w:rStyle w:val="VerbatimChar"/>
              </w:rPr>
              <w:t xml:space="preserve">h1_2.01</w:t>
            </w:r>
            <w:r>
              <w:t xml:space="preserve">).</w:t>
            </w:r>
          </w:p>
          <w:bookmarkEnd w:id="62"/>
        </w:tc>
      </w:tr>
    </w:tbl>
    <w:tbl>
      <w:tblPr>
        <w:tblStyle w:val="Table"/>
        <w:tblW w:type="pct" w:w="5000"/>
        <w:tblLayout w:type="fixed"/>
        <w:tblLook w:firstRow="0" w:lastRow="0" w:firstColumn="0" w:lastColumn="0" w:noHBand="0" w:noVBand="0" w:val="0000"/>
      </w:tblPr>
      <w:tblGrid>
        <w:gridCol w:w="7920"/>
      </w:tblGrid>
      <w:tr>
        <w:tc>
          <w:tcPr/>
          <w:bookmarkStart w:id="66" w:name="fig-selectivity-sc-allowance-ssb"/>
          <w:p>
            <w:pPr>
              <w:pStyle w:val="Compact"/>
              <w:jc w:val="center"/>
            </w:pPr>
            <w:r>
              <w:drawing>
                <wp:inline>
                  <wp:extent cx="5334000" cy="3194843"/>
                  <wp:effectExtent b="0" l="0" r="0" t="0"/>
                  <wp:docPr descr="" title="" id="64" name="Picture"/>
                  <a:graphic>
                    <a:graphicData uri="http://schemas.openxmlformats.org/drawingml/2006/picture">
                      <pic:pic>
                        <pic:nvPicPr>
                          <pic:cNvPr descr="SCW16-Paper-01_files/figure-docx/fig-selectivity-sc-allowance-ssb-1.png" id="65" name="Picture"/>
                          <pic:cNvPicPr>
                            <a:picLocks noChangeArrowheads="1" noChangeAspect="1"/>
                          </pic:cNvPicPr>
                        </pic:nvPicPr>
                        <pic:blipFill>
                          <a:blip r:embed="rId63"/>
                          <a:stretch>
                            <a:fillRect/>
                          </a:stretch>
                        </pic:blipFill>
                        <pic:spPr bwMode="auto">
                          <a:xfrm>
                            <a:off x="0" y="0"/>
                            <a:ext cx="5334000" cy="3194843"/>
                          </a:xfrm>
                          <a:prstGeom prst="rect">
                            <a:avLst/>
                          </a:prstGeom>
                          <a:noFill/>
                          <a:ln w="9525">
                            <a:noFill/>
                            <a:headEnd/>
                            <a:tailEnd/>
                          </a:ln>
                        </pic:spPr>
                      </pic:pic>
                    </a:graphicData>
                  </a:graphic>
                </wp:inline>
              </w:drawing>
            </w:r>
          </w:p>
          <w:p>
            <w:pPr>
              <w:jc w:val="center"/>
            </w:pPr>
            <w:pPr>
              <w:jc w:val="left"/>
              <w:spacing w:before="200"/>
              <w:pStyle w:val="ImageCaption"/>
            </w:pPr>
            <w:r>
              <w:t xml:space="preserve">Figure 6: Comparison of spawning biomass trajectories from the reduced-index sensitivity (</w:t>
            </w:r>
            <w:r>
              <w:rPr>
                <w:rStyle w:val="VerbatimChar"/>
              </w:rPr>
              <w:t xml:space="preserve">h1_2.00</w:t>
            </w:r>
            <w:r>
              <w:t xml:space="preserve">) and an intermediate selectivity variant (</w:t>
            </w:r>
            <w:r>
              <w:rPr>
                <w:rStyle w:val="VerbatimChar"/>
              </w:rPr>
              <w:t xml:space="preserve">h1_2.01.1</w:t>
            </w:r>
            <w:r>
              <w:t xml:space="preserve">) in which the South-Central Chile fishery retains the annual selectivity variability allowance from</w:t>
            </w:r>
            <w:r>
              <w:t xml:space="preserve"> </w:t>
            </w:r>
            <w:r>
              <w:rPr>
                <w:rStyle w:val="VerbatimChar"/>
              </w:rPr>
              <w:t xml:space="preserve">h1_2.00</w:t>
            </w:r>
            <w:r>
              <w:t xml:space="preserve">.</w:t>
            </w:r>
          </w:p>
          <w:bookmarkEnd w:id="66"/>
        </w:tc>
      </w:tr>
    </w:tbl>
    <w:p>
      <w:pPr>
        <w:pStyle w:val="BodyText"/>
      </w:pPr>
      <w:r>
        <w:rPr>
          <w:b/>
          <w:bCs/>
        </w:rPr>
        <w:t xml:space="preserve">59.</w:t>
      </w:r>
      <w:r>
        <w:t xml:space="preserve"> </w:t>
      </w:r>
      <w:r>
        <w:t xml:space="preserve">Relative to</w:t>
      </w:r>
      <w:r>
        <w:t xml:space="preserve"> </w:t>
      </w:r>
      <w:r>
        <w:rPr>
          <w:rStyle w:val="VerbatimChar"/>
        </w:rPr>
        <w:t xml:space="preserve">h1_2.00</w:t>
      </w:r>
      <w:r>
        <w:t xml:space="preserve">, the block-selectivity run fits the retained data less well and produces a higher recent stock trajectory. The terminal objective function increases from about 1234.7 in</w:t>
      </w:r>
      <w:r>
        <w:t xml:space="preserve"> </w:t>
      </w:r>
      <w:r>
        <w:rPr>
          <w:rStyle w:val="VerbatimChar"/>
        </w:rPr>
        <w:t xml:space="preserve">h1_2.00</w:t>
      </w:r>
      <w:r>
        <w:t xml:space="preserve"> </w:t>
      </w:r>
      <w:r>
        <w:t xml:space="preserve">to about 1544.1 in</w:t>
      </w:r>
      <w:r>
        <w:t xml:space="preserve"> </w:t>
      </w:r>
      <w:r>
        <w:rPr>
          <w:rStyle w:val="VerbatimChar"/>
        </w:rPr>
        <w:t xml:space="preserve">h1_2.01</w:t>
      </w:r>
      <w:r>
        <w:t xml:space="preserve">, while the estimated 2025 spawning biomass increases from about 15.9 kt to about 19.9 kt. Terminal recruitment also rises, from about 16.8 million in</w:t>
      </w:r>
      <w:r>
        <w:t xml:space="preserve"> </w:t>
      </w:r>
      <w:r>
        <w:rPr>
          <w:rStyle w:val="VerbatimChar"/>
        </w:rPr>
        <w:t xml:space="preserve">h1_2.00</w:t>
      </w:r>
      <w:r>
        <w:t xml:space="preserve"> </w:t>
      </w:r>
      <w:r>
        <w:t xml:space="preserve">to about 21.4 million in</w:t>
      </w:r>
      <w:r>
        <w:t xml:space="preserve"> </w:t>
      </w:r>
      <w:r>
        <w:rPr>
          <w:rStyle w:val="VerbatimChar"/>
        </w:rPr>
        <w:t xml:space="preserve">h1_2.01</w:t>
      </w:r>
      <w:r>
        <w:t xml:space="preserve">. As shown in</w:t>
      </w:r>
      <w:r>
        <w:t xml:space="preserve"> </w:t>
      </w:r>
      <w:hyperlink w:anchor="fig-selectivity-blocks-ssb">
        <w:r>
          <w:rPr>
            <w:rStyle w:val="Hyperlink"/>
          </w:rPr>
          <w:t xml:space="preserve">Figure 4</w:t>
        </w:r>
      </w:hyperlink>
      <w:r>
        <w:t xml:space="preserve"> </w:t>
      </w:r>
      <w:r>
        <w:t xml:space="preserve">and</w:t>
      </w:r>
      <w:r>
        <w:t xml:space="preserve"> </w:t>
      </w:r>
      <w:hyperlink w:anchor="fig-selectivity-blocks-rec">
        <w:r>
          <w:rPr>
            <w:rStyle w:val="Hyperlink"/>
          </w:rPr>
          <w:t xml:space="preserve">Figure 5</w:t>
        </w:r>
      </w:hyperlink>
      <w:r>
        <w:t xml:space="preserve">, simplifying selectivity in this way is therefore not just a bookkeeping reduction in model complexity; it materially changes stock perception and should be treated as a substantive structural alternative in the MSE operating-model set.</w:t>
      </w:r>
    </w:p>
    <w:p>
      <w:pPr>
        <w:pStyle w:val="BodyText"/>
      </w:pPr>
      <w:r>
        <w:rPr>
          <w:b/>
          <w:bCs/>
        </w:rPr>
        <w:t xml:space="preserve">60.</w:t>
      </w:r>
      <w:r>
        <w:t xml:space="preserve"> </w:t>
      </w:r>
      <w:r>
        <w:t xml:space="preserve">The negative-log-likelihood breakdown for the base single-stock model and the two simplified alternatives is shown in</w:t>
      </w:r>
      <w:r>
        <w:t xml:space="preserve"> </w:t>
      </w:r>
      <w:hyperlink w:anchor="tbl-h1-like-components">
        <w:r>
          <w:rPr>
            <w:rStyle w:val="Hyperlink"/>
          </w:rPr>
          <w:t xml:space="preserve">Table 3</w:t>
        </w:r>
      </w:hyperlink>
      <w:r>
        <w:t xml:space="preserve">. Relative to</w:t>
      </w:r>
      <w:r>
        <w:t xml:space="preserve"> </w:t>
      </w:r>
      <w:r>
        <w:rPr>
          <w:rStyle w:val="VerbatimChar"/>
        </w:rPr>
        <w:t xml:space="preserve">h1_1.14</w:t>
      </w:r>
      <w:r>
        <w:t xml:space="preserve">, the reduced-index sensitivity lowers the retained index-related likelihood contributions without materially worsening the overall fit, whereas the block-selectivity model reduces the number of estimated parameters more aggressively but at the cost of substantially higher age- and index-fit components.</w:t>
      </w:r>
    </w:p>
    <w:tbl>
      <w:tblPr>
        <w:tblStyle w:val="Table"/>
        <w:tblW w:type="pct" w:w="5000"/>
        <w:tblLayout w:type="fixed"/>
        <w:tblLook w:firstRow="0" w:lastRow="0" w:firstColumn="0" w:lastColumn="0" w:noHBand="0" w:noVBand="0" w:val="0000"/>
      </w:tblPr>
      <w:tblGrid>
        <w:gridCol w:w="7920"/>
      </w:tblGrid>
      <w:tr>
        <w:tc>
          <w:tcPr/>
          <w:bookmarkStart w:id="67" w:name="tbl-h1-like-components"/>
          <w:p>
            <w:pPr>
              <w:jc w:val="center"/>
            </w:pPr>
            <w:pPr>
              <w:jc w:val="left"/>
              <w:spacing w:before="200"/>
              <w:pStyle w:val="ImageCaption"/>
            </w:pPr>
            <w:r>
              <w:t xml:space="preserve">Table 3: Negative-log-likelihood components and estimated parameter counts for the single-stock base model (</w:t>
            </w:r>
            <w:r>
              <w:rPr>
                <w:rStyle w:val="VerbatimChar"/>
              </w:rPr>
              <w:t xml:space="preserve">h1_1.14</w:t>
            </w:r>
            <w:r>
              <w:t xml:space="preserve">), the reduced-index sensitivity (</w:t>
            </w:r>
            <w:r>
              <w:rPr>
                <w:rStyle w:val="VerbatimChar"/>
              </w:rPr>
              <w:t xml:space="preserve">h1_2.00</w:t>
            </w:r>
            <w:r>
              <w:t xml:space="preserve">), and the reduced-index model with fishery selectivity blocks (</w:t>
            </w:r>
            <w:r>
              <w:rPr>
                <w:rStyle w:val="VerbatimChar"/>
              </w:rPr>
              <w:t xml:space="preserve">h1_2.01</w:t>
            </w:r>
            <w:r>
              <w:t xml:space="preserve">). For index likelihoods, the aggregate and component rows include only the retained comparable series: Acoustic North, Chile CPUE, Peru CPUE, and Offshore CPUE.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Component</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h1_1.14</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h1_2.00</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h1_2.01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Catch likelihood</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0.9</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0.8</w:t>
                  </w:r>
                </w:p>
              </w:tc>
              <w:tc>
                <w:tcPr>
                  <w:tcBorders>
                    <w:top w:val="single" w:space="0" w:color="D3D3D3"/>
                    <w:bottom w:val="single" w:space="0" w:color="D3D3D3"/>
                    <w:start w:val="single" w:space="0" w:color="D3D3D3"/>
                    <w:end w:val="single" w:space="0" w:color="D3D3D3"/>
                  </w:tcBorders>
                  <w:shd w:val="clear" w:color="auto" w:fill="FCB59A"/>
                </w:tcPr>
                <w:p>
                  <w:pPr>
                    <w:spacing w:before="0" w:after="60"/>
                    <w:keepNext/>
                    <w:jc w:val="end"/>
                  </w:pPr>
                  <w:r>
                    <w:rPr>
                      <w:rFonts w:ascii="Calibri" w:hAnsi="Calibri"/>
                      <w:sz w:val="20"/>
                    </w:rPr>
                    <w:t xml:space="default">0.8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Fishery age compositions</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262.9</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262.9</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549.8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North Chile fishery age comps</w:t>
                  </w:r>
                </w:p>
              </w:tc>
              <w:tc>
                <w:tcPr>
                  <w:tcBorders>
                    <w:top w:val="single" w:space="0" w:color="D3D3D3"/>
                    <w:bottom w:val="single" w:space="0" w:color="D3D3D3"/>
                    <w:start w:val="single" w:space="0" w:color="D3D3D3"/>
                    <w:end w:val="single" w:space="0" w:color="D3D3D3"/>
                  </w:tcBorders>
                  <w:shd w:val="clear" w:color="auto" w:fill="FCAE92"/>
                </w:tcPr>
                <w:p>
                  <w:pPr>
                    <w:spacing w:before="0" w:after="60"/>
                    <w:keepNext/>
                    <w:jc w:val="end"/>
                  </w:pPr>
                  <w:r>
                    <w:rPr>
                      <w:rFonts w:ascii="Calibri" w:hAnsi="Calibri"/>
                      <w:sz w:val="20"/>
                    </w:rPr>
                    <w:t xml:space="default">113.7</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113.2</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202.8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S-C Chile fishery age comps</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123.3</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124.0</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307.3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Offshore trawl fishery age comps</w:t>
                  </w:r>
                </w:p>
              </w:tc>
              <w:tc>
                <w:tcPr>
                  <w:tcBorders>
                    <w:top w:val="single" w:space="0" w:color="D3D3D3"/>
                    <w:bottom w:val="single" w:space="0" w:color="D3D3D3"/>
                    <w:start w:val="single" w:space="0" w:color="D3D3D3"/>
                    <w:end w:val="single" w:space="0" w:color="D3D3D3"/>
                  </w:tcBorders>
                  <w:shd w:val="clear" w:color="auto" w:fill="FCAF92"/>
                </w:tcPr>
                <w:p>
                  <w:pPr>
                    <w:spacing w:before="0" w:after="60"/>
                    <w:keepNext/>
                    <w:jc w:val="end"/>
                  </w:pPr>
                  <w:r>
                    <w:rPr>
                      <w:rFonts w:ascii="Calibri" w:hAnsi="Calibri"/>
                      <w:sz w:val="20"/>
                    </w:rPr>
                    <w:t xml:space="default">25.9</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25.7</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39.7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Fishery length compositions</w:t>
                  </w:r>
                </w:p>
              </w:tc>
              <w:tc>
                <w:tcPr>
                  <w:tcBorders>
                    <w:top w:val="single" w:space="0" w:color="D3D3D3"/>
                    <w:bottom w:val="single" w:space="0" w:color="D3D3D3"/>
                    <w:start w:val="single" w:space="0" w:color="D3D3D3"/>
                    <w:end w:val="single" w:space="0" w:color="D3D3D3"/>
                  </w:tcBorders>
                  <w:shd w:val="clear" w:color="auto" w:fill="FCAF92"/>
                </w:tcPr>
                <w:p>
                  <w:pPr>
                    <w:spacing w:before="0" w:after="60"/>
                    <w:keepNext/>
                    <w:jc w:val="end"/>
                  </w:pPr>
                  <w:r>
                    <w:rPr>
                      <w:rFonts w:ascii="Calibri" w:hAnsi="Calibri"/>
                      <w:sz w:val="20"/>
                    </w:rPr>
                    <w:t xml:space="default">471.5</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470.2</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581.9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Fishery selectivity penalties</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331.3</w:t>
                  </w:r>
                </w:p>
              </w:tc>
              <w:tc>
                <w:tcPr>
                  <w:tcBorders>
                    <w:top w:val="single" w:space="0" w:color="D3D3D3"/>
                    <w:bottom w:val="single" w:space="0" w:color="D3D3D3"/>
                    <w:start w:val="single" w:space="0" w:color="D3D3D3"/>
                    <w:end w:val="single" w:space="0" w:color="D3D3D3"/>
                  </w:tcBorders>
                  <w:shd w:val="clear" w:color="auto" w:fill="FFF4EF"/>
                </w:tcPr>
                <w:p>
                  <w:pPr>
                    <w:spacing w:before="0" w:after="60"/>
                    <w:keepNext/>
                    <w:jc w:val="end"/>
                  </w:pPr>
                  <w:r>
                    <w:rPr>
                      <w:rFonts w:ascii="Calibri" w:hAnsi="Calibri"/>
                      <w:sz w:val="20"/>
                    </w:rPr>
                    <w:t xml:space="default">329.7</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114.4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Index likelihood</w:t>
                  </w:r>
                </w:p>
              </w:tc>
              <w:tc>
                <w:tcPr>
                  <w:tcBorders>
                    <w:top w:val="single" w:space="0" w:color="D3D3D3"/>
                    <w:bottom w:val="single" w:space="0" w:color="D3D3D3"/>
                    <w:start w:val="single" w:space="0" w:color="D3D3D3"/>
                    <w:end w:val="single" w:space="0" w:color="D3D3D3"/>
                  </w:tcBorders>
                  <w:shd w:val="clear" w:color="auto" w:fill="FCB195"/>
                </w:tcPr>
                <w:p>
                  <w:pPr>
                    <w:spacing w:before="0" w:after="60"/>
                    <w:keepNext/>
                    <w:jc w:val="end"/>
                  </w:pPr>
                  <w:r>
                    <w:rPr>
                      <w:rFonts w:ascii="Calibri" w:hAnsi="Calibri"/>
                      <w:sz w:val="20"/>
                    </w:rPr>
                    <w:t xml:space="default">136.5</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130.6</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258.0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Chile acoustic North index</w:t>
                  </w:r>
                </w:p>
              </w:tc>
              <w:tc>
                <w:tcPr>
                  <w:tcBorders>
                    <w:top w:val="single" w:space="0" w:color="D3D3D3"/>
                    <w:bottom w:val="single" w:space="0" w:color="D3D3D3"/>
                    <w:start w:val="single" w:space="0" w:color="D3D3D3"/>
                    <w:end w:val="single" w:space="0" w:color="D3D3D3"/>
                  </w:tcBorders>
                  <w:shd w:val="clear" w:color="auto" w:fill="FCB499"/>
                </w:tcPr>
                <w:p>
                  <w:pPr>
                    <w:spacing w:before="0" w:after="60"/>
                    <w:keepNext/>
                    <w:jc w:val="end"/>
                  </w:pPr>
                  <w:r>
                    <w:rPr>
                      <w:rFonts w:ascii="Calibri" w:hAnsi="Calibri"/>
                      <w:sz w:val="20"/>
                    </w:rPr>
                    <w:t xml:space="default">74.4</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73.2</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87.7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Chile CPUE index</w:t>
                  </w:r>
                </w:p>
              </w:tc>
              <w:tc>
                <w:tcPr>
                  <w:tcBorders>
                    <w:top w:val="single" w:space="0" w:color="D3D3D3"/>
                    <w:bottom w:val="single" w:space="0" w:color="D3D3D3"/>
                    <w:start w:val="single" w:space="0" w:color="D3D3D3"/>
                    <w:end w:val="single" w:space="0" w:color="D3D3D3"/>
                  </w:tcBorders>
                  <w:shd w:val="clear" w:color="auto" w:fill="FCAF92"/>
                </w:tcPr>
                <w:p>
                  <w:pPr>
                    <w:spacing w:before="0" w:after="60"/>
                    <w:keepNext/>
                    <w:jc w:val="end"/>
                  </w:pPr>
                  <w:r>
                    <w:rPr>
                      <w:rFonts w:ascii="Calibri" w:hAnsi="Calibri"/>
                      <w:sz w:val="20"/>
                    </w:rPr>
                    <w:t xml:space="default">17.9</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17.0</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73.5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Peru CPUE index</w:t>
                  </w:r>
                </w:p>
              </w:tc>
              <w:tc>
                <w:tcPr>
                  <w:tcBorders>
                    <w:top w:val="single" w:space="0" w:color="D3D3D3"/>
                    <w:bottom w:val="single" w:space="0" w:color="D3D3D3"/>
                    <w:start w:val="single" w:space="0" w:color="D3D3D3"/>
                    <w:end w:val="single" w:space="0" w:color="D3D3D3"/>
                  </w:tcBorders>
                  <w:shd w:val="clear" w:color="auto" w:fill="FCB59A"/>
                </w:tcPr>
                <w:p>
                  <w:pPr>
                    <w:spacing w:before="0" w:after="60"/>
                    <w:keepNext/>
                    <w:jc w:val="end"/>
                  </w:pPr>
                  <w:r>
                    <w:rPr>
                      <w:rFonts w:ascii="Calibri" w:hAnsi="Calibri"/>
                      <w:sz w:val="20"/>
                    </w:rPr>
                    <w:t xml:space="default">32.9</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29.5</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65.3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Offshore CPUE index</w:t>
                  </w:r>
                </w:p>
              </w:tc>
              <w:tc>
                <w:tcPr>
                  <w:tcBorders>
                    <w:top w:val="single" w:space="0" w:color="D3D3D3"/>
                    <w:bottom w:val="single" w:space="0" w:color="D3D3D3"/>
                    <w:start w:val="single" w:space="0" w:color="D3D3D3"/>
                    <w:end w:val="single" w:space="0" w:color="D3D3D3"/>
                  </w:tcBorders>
                  <w:shd w:val="clear" w:color="auto" w:fill="FCAF93"/>
                </w:tcPr>
                <w:p>
                  <w:pPr>
                    <w:spacing w:before="0" w:after="60"/>
                    <w:keepNext/>
                    <w:jc w:val="end"/>
                  </w:pPr>
                  <w:r>
                    <w:rPr>
                      <w:rFonts w:ascii="Calibri" w:hAnsi="Calibri"/>
                      <w:sz w:val="20"/>
                    </w:rPr>
                    <w:t xml:space="default">11.3</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10.9</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31.4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Index age compositions</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61.5</w:t>
                  </w:r>
                </w:p>
              </w:tc>
              <w:tc>
                <w:tcPr>
                  <w:tcBorders>
                    <w:top w:val="single" w:space="0" w:color="D3D3D3"/>
                    <w:bottom w:val="single" w:space="0" w:color="D3D3D3"/>
                    <w:start w:val="single" w:space="0" w:color="D3D3D3"/>
                    <w:end w:val="single" w:space="0" w:color="D3D3D3"/>
                  </w:tcBorders>
                  <w:shd w:val="clear" w:color="auto" w:fill="FCAF92"/>
                </w:tcPr>
                <w:p>
                  <w:pPr>
                    <w:spacing w:before="0" w:after="60"/>
                    <w:keepNext/>
                    <w:jc w:val="end"/>
                  </w:pPr>
                  <w:r>
                    <w:rPr>
                      <w:rFonts w:ascii="Calibri" w:hAnsi="Calibri"/>
                      <w:sz w:val="20"/>
                    </w:rPr>
                    <w:t xml:space="default">38.1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37.8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Index selectivity penalties</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10.7</w:t>
                  </w:r>
                </w:p>
              </w:tc>
              <w:tc>
                <w:tcPr>
                  <w:tcBorders>
                    <w:top w:val="single" w:space="0" w:color="D3D3D3"/>
                    <w:bottom w:val="single" w:space="0" w:color="D3D3D3"/>
                    <w:start w:val="single" w:space="0" w:color="D3D3D3"/>
                    <w:end w:val="single" w:space="0" w:color="D3D3D3"/>
                  </w:tcBorders>
                  <w:shd w:val="clear" w:color="auto" w:fill="FDC5B0"/>
                </w:tcPr>
                <w:p>
                  <w:pPr>
                    <w:spacing w:before="0" w:after="60"/>
                    <w:keepNext/>
                    <w:jc w:val="end"/>
                  </w:pPr>
                  <w:r>
                    <w:rPr>
                      <w:rFonts w:ascii="Calibri" w:hAnsi="Calibri"/>
                      <w:sz w:val="20"/>
                    </w:rPr>
                    <w:t xml:space="default">6.1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3.9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Recruitment term</w:t>
                  </w:r>
                </w:p>
              </w:tc>
              <w:tc>
                <w:tcPr>
                  <w:tcBorders>
                    <w:top w:val="single" w:space="0" w:color="D3D3D3"/>
                    <w:bottom w:val="single" w:space="0" w:color="D3D3D3"/>
                    <w:start w:val="single" w:space="0" w:color="D3D3D3"/>
                    <w:end w:val="single" w:space="0" w:color="D3D3D3"/>
                  </w:tcBorders>
                  <w:shd w:val="clear" w:color="auto" w:fill="FEE1D5"/>
                </w:tcPr>
                <w:p>
                  <w:pPr>
                    <w:spacing w:before="0" w:after="60"/>
                    <w:keepNext/>
                    <w:jc w:val="end"/>
                  </w:pPr>
                  <w:r>
                    <w:rPr>
                      <w:rFonts w:ascii="Calibri" w:hAnsi="Calibri"/>
                      <w:sz w:val="20"/>
                    </w:rPr>
                    <w:t xml:space="default">-3.0</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-3.9</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-2.6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Fishing mortality penalty</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0.0</w:t>
                  </w:r>
                </w:p>
              </w:tc>
              <w:tc>
                <w:tcPr>
                  <w:tcBorders>
                    <w:top w:val="single" w:space="0" w:color="D3D3D3"/>
                    <w:bottom w:val="single" w:space="0" w:color="D3D3D3"/>
                    <w:start w:val="single" w:space="0" w:color="D3D3D3"/>
                    <w:end w:val="single" w:space="0" w:color="D3D3D3"/>
                  </w:tcBorders>
                  <w:shd w:val="clear" w:color="auto" w:fill="FFEDE6"/>
                </w:tcPr>
                <w:p>
                  <w:pPr>
                    <w:spacing w:before="0" w:after="60"/>
                    <w:keepNext/>
                    <w:jc w:val="end"/>
                  </w:pPr>
                  <w:r>
                    <w:rPr>
                      <w:rFonts w:ascii="Calibri" w:hAnsi="Calibri"/>
                      <w:sz w:val="20"/>
                    </w:rPr>
                    <w:t xml:space="default">0.0</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Index q priors</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0.2</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0.1</w:t>
                  </w:r>
                </w:p>
              </w:tc>
              <w:tc>
                <w:tcPr>
                  <w:tcBorders>
                    <w:top w:val="single" w:space="0" w:color="D3D3D3"/>
                    <w:bottom w:val="single" w:space="0" w:color="D3D3D3"/>
                    <w:start w:val="single" w:space="0" w:color="D3D3D3"/>
                    <w:end w:val="single" w:space="0" w:color="D3D3D3"/>
                  </w:tcBorders>
                  <w:shd w:val="clear" w:color="auto" w:fill="FCB59A"/>
                </w:tcPr>
                <w:p>
                  <w:pPr>
                    <w:spacing w:before="0" w:after="60"/>
                    <w:keepNext/>
                    <w:jc w:val="end"/>
                  </w:pPr>
                  <w:r>
                    <w:rPr>
                      <w:rFonts w:ascii="Calibri" w:hAnsi="Calibri"/>
                      <w:sz w:val="20"/>
                    </w:rPr>
                    <w:t xml:space="default">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Residual term</w:t>
                  </w:r>
                </w:p>
              </w:tc>
              <w:tc>
                <w:tcPr>
                  <w:tcBorders>
                    <w:top w:val="single" w:space="0" w:color="D3D3D3"/>
                    <w:bottom w:val="single" w:space="0" w:color="D3D3D3"/>
                    <w:start w:val="single" w:space="0" w:color="D3D3D3"/>
                    <w:end w:val="single" w:space="0" w:color="D3D3D3"/>
                  </w:tcBorders>
                  <w:shd w:val="clear" w:color="auto" w:fill="FFF1EA"/>
                </w:tcPr>
                <w:p>
                  <w:pPr>
                    <w:spacing w:before="0" w:after="60"/>
                    <w:keepNext/>
                    <w:jc w:val="end"/>
                  </w:pPr>
                  <w:r>
                    <w:rPr>
                      <w:rFonts w:ascii="Calibri" w:hAnsi="Calibri"/>
                      <w:sz w:val="20"/>
                    </w:rPr>
                    <w:t xml:space="default">0.1</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0.1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Total negative log likelihood</w:t>
                  </w:r>
                </w:p>
              </w:tc>
              <w:tc>
                <w:tcPr>
                  <w:tcBorders>
                    <w:top w:val="single" w:space="0" w:color="D3D3D3"/>
                    <w:bottom w:val="single" w:space="0" w:color="D3D3D3"/>
                    <w:start w:val="single" w:space="0" w:color="D3D3D3"/>
                    <w:end w:val="single" w:space="0" w:color="D3D3D3"/>
                  </w:tcBorders>
                  <w:shd w:val="clear" w:color="auto" w:fill="FDC2AC"/>
                </w:tcPr>
                <w:p>
                  <w:pPr>
                    <w:spacing w:before="0" w:after="60"/>
                    <w:keepNext/>
                    <w:jc w:val="end"/>
                  </w:pPr>
                  <w:r>
                    <w:rPr>
                      <w:rFonts w:ascii="Calibri" w:hAnsi="Calibri"/>
                      <w:sz w:val="20"/>
                    </w:rPr>
                    <w:t xml:space="default">1,323.8</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1,234.7</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1,544.1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Estimated parameters (count)</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1,865</w:t>
                  </w:r>
                </w:p>
              </w:tc>
              <w:tc>
                <w:tcPr>
                  <w:tcBorders>
                    <w:top w:val="single" w:space="0" w:color="D3D3D3"/>
                    <w:bottom w:val="single" w:space="0" w:color="D3D3D3"/>
                    <w:start w:val="single" w:space="0" w:color="D3D3D3"/>
                    <w:end w:val="single" w:space="0" w:color="D3D3D3"/>
                  </w:tcBorders>
                  <w:shd w:val="clear" w:color="auto" w:fill="FFF3ED"/>
                </w:tcPr>
                <w:p>
                  <w:pPr>
                    <w:spacing w:before="0" w:after="60"/>
                    <w:keepNext/>
                    <w:jc w:val="end"/>
                  </w:pPr>
                  <w:r>
                    <w:rPr>
                      <w:rFonts w:ascii="Calibri" w:hAnsi="Calibri"/>
                      <w:sz w:val="20"/>
                    </w:rPr>
                    <w:t xml:space="default">1,821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480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NA</w:t>
                  </w:r>
                </w:p>
              </w:tc>
              <w:tc>
                <w:tcPr>
                  <w:tcBorders>
                    <w:top w:val="single" w:space="0" w:color="D3D3D3"/>
                    <w:bottom w:val="single" w:space="0" w:color="D3D3D3"/>
                    <w:start w:val="single" w:space="0" w:color="D3D3D3"/>
                    <w:end w:val="single" w:space="0" w:color="D3D3D3"/>
                  </w:tcBorders>
                  <w:shd w:val="clear" w:color="auto" w:fill="FEE5D9"/>
                </w:tcPr>
                <w:p>
                  <w:pPr>
                    <w:spacing w:before="0" w:after="60"/>
                    <w:keepNext/>
                    <w:jc w:val="end"/>
                  </w:pPr>
                  <w:r>
                    <w:rPr>
                      <w:rFonts w:ascii="Calibri" w:hAnsi="Calibri"/>
                      <w:sz w:val="20"/>
                    </w:rPr>
                    <w:t xml:space="default">13.8579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w:r>
                </w:p>
              </w:tc>
            </w:tr>
          </w:tbl>
          <w:bookmarkEnd w:id="67"/>
        </w:tc>
      </w:tr>
    </w:tbl>
    <w:p>
      <w:pPr>
        <w:pStyle w:val="BodyText"/>
      </w:pPr>
      <w:r>
        <w:rPr>
          <w:b/>
          <w:bCs/>
        </w:rPr>
        <w:t xml:space="preserve">61.</w:t>
      </w:r>
      <w:r>
        <w:t xml:space="preserve"> </w:t>
      </w:r>
      <w:r>
        <w:t xml:space="preserve">Viewed in more detail, the reduced-index configuration suggests that dropping the discontinued or older index series generally relaxes pressure on the rest of the fit. When attention is restricted to the retained comparable indices, the aggregate index likelihood declines modestly from</w:t>
      </w:r>
      <w:r>
        <w:t xml:space="preserve"> </w:t>
      </w:r>
      <w:r>
        <w:rPr>
          <w:rStyle w:val="VerbatimChar"/>
        </w:rPr>
        <w:t xml:space="preserve">136.5</w:t>
      </w:r>
      <w:r>
        <w:t xml:space="preserve"> </w:t>
      </w:r>
      <w:r>
        <w:t xml:space="preserve">in</w:t>
      </w:r>
      <w:r>
        <w:t xml:space="preserve"> </w:t>
      </w:r>
      <w:r>
        <w:rPr>
          <w:rStyle w:val="VerbatimChar"/>
        </w:rPr>
        <w:t xml:space="preserve">h1_1.14</w:t>
      </w:r>
      <w:r>
        <w:t xml:space="preserve"> </w:t>
      </w:r>
      <w:r>
        <w:t xml:space="preserve">to</w:t>
      </w:r>
      <w:r>
        <w:t xml:space="preserve"> </w:t>
      </w:r>
      <w:r>
        <w:rPr>
          <w:rStyle w:val="VerbatimChar"/>
        </w:rPr>
        <w:t xml:space="preserve">130.6</w:t>
      </w:r>
      <w:r>
        <w:t xml:space="preserve"> </w:t>
      </w:r>
      <w:r>
        <w:t xml:space="preserve">in</w:t>
      </w:r>
      <w:r>
        <w:t xml:space="preserve"> </w:t>
      </w:r>
      <w:r>
        <w:rPr>
          <w:rStyle w:val="VerbatimChar"/>
        </w:rPr>
        <w:t xml:space="preserve">h1_2.00</w:t>
      </w:r>
      <w:r>
        <w:t xml:space="preserve">, and the retained Chile CPUE, Peru CPUE, and Offshore CPUE contributions all improve modestly. Fishery catch, fishery length compositions, and most fishery age-composition terms also stay similar or improve slightly. The main exception is that the Acoustic North term remains large and only weakly improved, so the reduced-index simplification does not remove the tension associated with that series.</w:t>
      </w:r>
    </w:p>
    <w:p>
      <w:pPr>
        <w:pStyle w:val="BodyText"/>
      </w:pPr>
      <w:r>
        <w:rPr>
          <w:b/>
          <w:bCs/>
        </w:rPr>
        <w:t xml:space="preserve">62.</w:t>
      </w:r>
      <w:r>
        <w:t xml:space="preserve"> </w:t>
      </w:r>
      <w:r>
        <w:t xml:space="preserve">By contrast, imposing the block selectivity structure in</w:t>
      </w:r>
      <w:r>
        <w:t xml:space="preserve"> </w:t>
      </w:r>
      <w:r>
        <w:rPr>
          <w:rStyle w:val="VerbatimChar"/>
        </w:rPr>
        <w:t xml:space="preserve">h1_2.01</w:t>
      </w:r>
      <w:r>
        <w:t xml:space="preserve"> </w:t>
      </w:r>
      <w:r>
        <w:t xml:space="preserve">degrades the fit across a broad range of components rather than concentrating the penalty in a single place. The South-Central Chile and North Chile fishery age-composition terms increase strongly, the aggregate fishery length-composition likelihood worsens, and the retained index contributions rise for Acoustic North, Chile CPUE, Peru CPUE, and Offshore CPUE. In that sense, the selectivity simplification is not merely trading one data source against another; it reduces flexibility in a way that propagates across several of the main observation components simultaneously.</w:t>
      </w:r>
    </w:p>
    <w:p>
      <w:pPr>
        <w:pStyle w:val="BodyText"/>
      </w:pPr>
      <w:r>
        <w:rPr>
          <w:b/>
          <w:bCs/>
        </w:rPr>
        <w:t xml:space="preserve">63.</w:t>
      </w:r>
      <w:r>
        <w:t xml:space="preserve"> </w:t>
      </w:r>
      <w:r>
        <w:t xml:space="preserve">The visual fit to the retained and comparable abundance indices is shown in</w:t>
      </w:r>
      <w:r>
        <w:t xml:space="preserve"> </w:t>
      </w:r>
      <w:hyperlink w:anchor="fig-h1-index-fits">
        <w:r>
          <w:rPr>
            <w:rStyle w:val="Hyperlink"/>
          </w:rPr>
          <w:t xml:space="preserve">Figure 7</w:t>
        </w:r>
      </w:hyperlink>
      <w:r>
        <w:t xml:space="preserve">. This first comparison focuses on the base model, the reduced-index sensitivity, and the reduced-index model with block selectivity. It shows that</w:t>
      </w:r>
      <w:r>
        <w:t xml:space="preserve"> </w:t>
      </w:r>
      <w:r>
        <w:rPr>
          <w:rStyle w:val="VerbatimChar"/>
        </w:rPr>
        <w:t xml:space="preserve">h1_2.00</w:t>
      </w:r>
      <w:r>
        <w:t xml:space="preserve"> </w:t>
      </w:r>
      <w:r>
        <w:t xml:space="preserve">stays broadly close to</w:t>
      </w:r>
      <w:r>
        <w:t xml:space="preserve"> </w:t>
      </w:r>
      <w:r>
        <w:rPr>
          <w:rStyle w:val="VerbatimChar"/>
        </w:rPr>
        <w:t xml:space="preserve">h1_1.14</w:t>
      </w:r>
      <w:r>
        <w:t xml:space="preserve"> </w:t>
      </w:r>
      <w:r>
        <w:t xml:space="preserve">for the South-Central Chile CPUE, Peruvian CPUE, and Offshore CPUE series, whereas the additional selectivity simplification in</w:t>
      </w:r>
      <w:r>
        <w:t xml:space="preserve"> </w:t>
      </w:r>
      <w:r>
        <w:rPr>
          <w:rStyle w:val="VerbatimChar"/>
        </w:rPr>
        <w:t xml:space="preserve">h1_2.01</w:t>
      </w:r>
      <w:r>
        <w:t xml:space="preserve"> </w:t>
      </w:r>
      <w:r>
        <w:t xml:space="preserve">produces visibly worse fits for several of the retained indices, especially Acoustic North and Peru CPUE.</w:t>
      </w:r>
    </w:p>
    <w:tbl>
      <w:tblPr>
        <w:tblStyle w:val="Table"/>
        <w:tblW w:type="pct" w:w="5000"/>
        <w:tblLayout w:type="fixed"/>
        <w:tblLook w:firstRow="0" w:lastRow="0" w:firstColumn="0" w:lastColumn="0" w:noHBand="0" w:noVBand="0" w:val="0000"/>
      </w:tblPr>
      <w:tblGrid>
        <w:gridCol w:w="7920"/>
      </w:tblGrid>
      <w:tr>
        <w:tc>
          <w:tcPr/>
          <w:bookmarkStart w:id="71" w:name="fig-h1-index-fits"/>
          <w:p>
            <w:pPr>
              <w:pStyle w:val="Compact"/>
              <w:jc w:val="center"/>
            </w:pPr>
            <w:r>
              <w:drawing>
                <wp:inline>
                  <wp:extent cx="5334000" cy="4333875"/>
                  <wp:effectExtent b="0" l="0" r="0" t="0"/>
                  <wp:docPr descr="" title="" id="69" name="Picture"/>
                  <a:graphic>
                    <a:graphicData uri="http://schemas.openxmlformats.org/drawingml/2006/picture">
                      <pic:pic>
                        <pic:nvPicPr>
                          <pic:cNvPr descr="SCW16-Paper-01_files/figure-docx/fig-h1-index-fits-1.png" id="70" name="Picture"/>
                          <pic:cNvPicPr>
                            <a:picLocks noChangeArrowheads="1" noChangeAspect="1"/>
                          </pic:cNvPicPr>
                        </pic:nvPicPr>
                        <pic:blipFill>
                          <a:blip r:embed="rId68"/>
                          <a:stretch>
                            <a:fillRect/>
                          </a:stretch>
                        </pic:blipFill>
                        <pic:spPr bwMode="auto">
                          <a:xfrm>
                            <a:off x="0" y="0"/>
                            <a:ext cx="5334000" cy="4333875"/>
                          </a:xfrm>
                          <a:prstGeom prst="rect">
                            <a:avLst/>
                          </a:prstGeom>
                          <a:noFill/>
                          <a:ln w="9525">
                            <a:noFill/>
                            <a:headEnd/>
                            <a:tailEnd/>
                          </a:ln>
                        </pic:spPr>
                      </pic:pic>
                    </a:graphicData>
                  </a:graphic>
                </wp:inline>
              </w:drawing>
            </w:r>
          </w:p>
          <w:p>
            <w:pPr>
              <w:jc w:val="center"/>
            </w:pPr>
            <w:pPr>
              <w:jc w:val="left"/>
              <w:spacing w:before="200"/>
              <w:pStyle w:val="ImageCaption"/>
            </w:pPr>
            <w:r>
              <w:t xml:space="preserve">Figure 7: Observed and fitted index trajectories for</w:t>
            </w:r>
            <w:r>
              <w:t xml:space="preserve"> </w:t>
            </w:r>
            <w:r>
              <w:rPr>
                <w:rStyle w:val="VerbatimChar"/>
              </w:rPr>
              <w:t xml:space="preserve">h1_1.14</w:t>
            </w:r>
            <w:r>
              <w:t xml:space="preserve">,</w:t>
            </w:r>
            <w:r>
              <w:t xml:space="preserve"> </w:t>
            </w:r>
            <w:r>
              <w:rPr>
                <w:rStyle w:val="VerbatimChar"/>
              </w:rPr>
              <w:t xml:space="preserve">h1_2.00</w:t>
            </w:r>
            <w:r>
              <w:t xml:space="preserve">, and</w:t>
            </w:r>
            <w:r>
              <w:t xml:space="preserve"> </w:t>
            </w:r>
            <w:r>
              <w:rPr>
                <w:rStyle w:val="VerbatimChar"/>
              </w:rPr>
              <w:t xml:space="preserve">h1_2.01</w:t>
            </w:r>
            <w:r>
              <w:t xml:space="preserve">. Panels show the retained comparable index series: South-Central Chile CPUE, Acoustic North, Peruvian CPUE, and Offshore CPUE.</w:t>
            </w:r>
          </w:p>
          <w:bookmarkEnd w:id="71"/>
        </w:tc>
      </w:tr>
    </w:tbl>
    <w:p>
      <w:pPr>
        <w:pStyle w:val="BodyText"/>
      </w:pPr>
      <w:r>
        <w:rPr>
          <w:b/>
          <w:bCs/>
        </w:rPr>
        <w:t xml:space="preserve">64.</w:t>
      </w:r>
      <w:r>
        <w:t xml:space="preserve"> </w:t>
      </w:r>
      <w:r>
        <w:rPr>
          <w:b/>
          <w:bCs/>
        </w:rPr>
        <w:t xml:space="preserve">Projection-period selectivity uncertainty.</w:t>
      </w:r>
      <w:r>
        <w:t xml:space="preserve"> </w:t>
      </w:r>
      <w:r>
        <w:t xml:space="preserve">The second dimension is the selectivity pattern applied during the projection period of the MSE simulation. In the current assessment, projections use fixed terminal selectivity. In MSE, the future selectivity pattern represents a real source of uncertainty, because the fishing gear and targeting behaviour that produced recent selectivities may not persist over a multi-decade evaluation horizon.</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72" name="Picture"/>
                  <a:graphic>
                    <a:graphicData uri="http://schemas.openxmlformats.org/drawingml/2006/picture">
                      <pic:pic>
                        <pic:nvPicPr>
                          <pic:cNvPr descr="/Applications/quarto/share/formats/docx/note.png" id="73" name="Picture"/>
                          <pic:cNvPicPr>
                            <a:picLocks noChangeArrowheads="1" noChangeAspect="1"/>
                          </pic:cNvPicPr>
                        </pic:nvPicPr>
                        <pic:blipFill>
                          <a:blip r:embed="rId3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 (I. Mosqueira)</w:t>
            </w:r>
          </w:p>
        </w:tc>
      </w:tr>
      <w:tr>
        <w:trPr>
          <w:cantSplit/>
        </w:trPr>
        <w:tc>
          <w:tcPr>
            <w:tcMar>
              <w:top w:w="108" w:type="dxa"/>
              <w:bottom w:w="108" w:type="dxa"/>
            </w:tcMar>
          </w:tcPr>
          <w:p>
            <w:pPr>
              <w:pStyle w:val="BodyText"/>
            </w:pPr>
            <w:pPr>
              <w:spacing w:before="16"/>
            </w:pPr>
            <w:r>
              <w:rPr>
                <w:b/>
                <w:bCs/>
              </w:rPr>
              <w:t xml:space="preserve">65.</w:t>
            </w:r>
            <w:r>
              <w:t xml:space="preserve"> </w:t>
            </w:r>
            <w:r>
              <w:t xml:space="preserve">Rather than projecting with a single terminal selectivity, the projection period can be populated with a range of average-selectivity vectors — for example averages computed over the last 1, 5, 10, 15, or 20 years of the modelled period. These alternatives span from recent directed behaviour (short averages, capturing more targeted fishing patterns) to longer integration of historical fishery change (long averages). This range directly addresses the concern raised at the July 2025 workshop that projection assumptions differ from fitting assumptions. Preliminary runs with such averaging periods have already been explored and provide a practical basis for this robustness dimension.</w:t>
            </w:r>
          </w:p>
          <w:p>
            <w:pPr>
              <w:pStyle w:val="BodyText"/>
            </w:pPr>
            <w:pPr>
              <w:spacing w:after="16"/>
            </w:pPr>
            <w:r>
              <w:rPr>
                <w:b/>
                <w:bCs/>
              </w:rPr>
              <w:t xml:space="preserve">66.</w:t>
            </w:r>
            <w:r>
              <w:t xml:space="preserve"> </w:t>
            </w:r>
            <w:r>
              <w:t xml:space="preserve">The block-based formulation should be regarded as the</w:t>
            </w:r>
            <w:r>
              <w:t xml:space="preserve"> </w:t>
            </w:r>
            <w:r>
              <w:rPr>
                <w:b/>
                <w:bCs/>
              </w:rPr>
              <w:t xml:space="preserve">primary</w:t>
            </w:r>
            <w:r>
              <w:t xml:space="preserve"> </w:t>
            </w:r>
            <w:r>
              <w:t xml:space="preserve">simplified alternative. The 1-, 5-, 10-, 15-, and 20-year rolling-average selectivity vectors should then be used as</w:t>
            </w:r>
            <w:r>
              <w:t xml:space="preserve"> </w:t>
            </w:r>
            <w:r>
              <w:rPr>
                <w:b/>
                <w:bCs/>
              </w:rPr>
              <w:t xml:space="preserve">robustness tests</w:t>
            </w:r>
            <w:r>
              <w:t xml:space="preserve"> </w:t>
            </w:r>
            <w:r>
              <w:t xml:space="preserve">to verify that conclusions about management procedure performance are not overly sensitive to the assumption about future selectivity patterns.</w:t>
            </w:r>
          </w:p>
          <w:p/>
        </w:tc>
      </w:tr>
    </w:tbl>
    <w:p>
      <w:pPr>
        <w:pStyle w:val="BodyText"/>
      </w:pPr>
      <w:r>
        <w:rPr>
          <w:b/>
          <w:bCs/>
        </w:rPr>
        <w:t xml:space="preserve">67.</w:t>
      </w:r>
      <w:r>
        <w:t xml:space="preserve"> </w:t>
      </w:r>
      <w:r>
        <w:t xml:space="preserve">This hierarchy — block structure as primary, averaging-period variation as robustness — is consistent with the staged MSE roadmap described by</w:t>
      </w:r>
      <w:r>
        <w:t xml:space="preserve"> </w:t>
      </w:r>
      <w:r>
        <w:t xml:space="preserve">Carruthers (2024)</w:t>
      </w:r>
      <w:r>
        <w:t xml:space="preserve"> </w:t>
      </w:r>
      <w:r>
        <w:t xml:space="preserve">and with the more specific jack mackerel staging discussed in</w:t>
      </w:r>
      <w:r>
        <w:t xml:space="preserve"> </w:t>
      </w:r>
      <w:r>
        <w:t xml:space="preserve">SPRFMO Jack Mackerel Working Group (2025)</w:t>
      </w:r>
      <w:r>
        <w:t xml:space="preserve">, which separates operating-model specification work from robustness testing and management-procedure refinement. It is also consistent with CCSBT practice in the Bali Procedure review cycle.</w:t>
      </w:r>
    </w:p>
    <w:p>
      <w:pPr>
        <w:pStyle w:val="BodyText"/>
      </w:pPr>
      <w:r>
        <w:rPr>
          <w:b/>
          <w:bCs/>
        </w:rPr>
        <w:t xml:space="preserve">68.</w:t>
      </w:r>
      <w:r>
        <w:t xml:space="preserve"> </w:t>
      </w:r>
      <w:r>
        <w:t xml:space="preserve">To isolate whether the deterioration in</w:t>
      </w:r>
      <w:r>
        <w:t xml:space="preserve"> </w:t>
      </w:r>
      <w:r>
        <w:rPr>
          <w:rStyle w:val="VerbatimChar"/>
        </w:rPr>
        <w:t xml:space="preserve">h1_2.01</w:t>
      </w:r>
      <w:r>
        <w:t xml:space="preserve"> </w:t>
      </w:r>
      <w:r>
        <w:t xml:space="preserve">is being driven mainly by the reduced flexibility assigned to the South-Central Chile fishery, I fitted an intermediate variant,</w:t>
      </w:r>
      <w:r>
        <w:t xml:space="preserve"> </w:t>
      </w:r>
      <w:r>
        <w:rPr>
          <w:rStyle w:val="VerbatimChar"/>
        </w:rPr>
        <w:t xml:space="preserve">h1_2.01.1</w:t>
      </w:r>
      <w:r>
        <w:t xml:space="preserve">, that keeps the fleet-specific block structure for the other fisheries but restores the annual selectivity-variation treatment for the South-Central Chile fleet used in</w:t>
      </w:r>
      <w:r>
        <w:t xml:space="preserve"> </w:t>
      </w:r>
      <w:r>
        <w:rPr>
          <w:rStyle w:val="VerbatimChar"/>
        </w:rPr>
        <w:t xml:space="preserve">h1_2.00</w:t>
      </w:r>
      <w:r>
        <w:t xml:space="preserve">. This intermediate run converged cleanly (</w:t>
      </w:r>
      <w:r>
        <w:rPr>
          <w:rStyle w:val="VerbatimChar"/>
        </w:rPr>
        <w:t xml:space="preserve">nll = 1364.8</w:t>
      </w:r>
      <w:r>
        <w:t xml:space="preserve">,</w:t>
      </w:r>
      <w:r>
        <w:t xml:space="preserve"> </w:t>
      </w:r>
      <w:r>
        <w:rPr>
          <w:rStyle w:val="VerbatimChar"/>
        </w:rPr>
        <w:t xml:space="preserve">maxgrad = 1.1e-4</w:t>
      </w:r>
      <w:r>
        <w:t xml:space="preserve">) and sits between</w:t>
      </w:r>
      <w:r>
        <w:t xml:space="preserve"> </w:t>
      </w:r>
      <w:r>
        <w:rPr>
          <w:rStyle w:val="VerbatimChar"/>
        </w:rPr>
        <w:t xml:space="preserve">h1_2.00</w:t>
      </w:r>
      <w:r>
        <w:t xml:space="preserve"> </w:t>
      </w:r>
      <w:r>
        <w:t xml:space="preserve">and</w:t>
      </w:r>
      <w:r>
        <w:t xml:space="preserve"> </w:t>
      </w:r>
      <w:r>
        <w:rPr>
          <w:rStyle w:val="VerbatimChar"/>
        </w:rPr>
        <w:t xml:space="preserve">h1_2.01</w:t>
      </w:r>
      <w:r>
        <w:t xml:space="preserve"> </w:t>
      </w:r>
      <w:r>
        <w:t xml:space="preserve">in overall fit. The SSB comparison in</w:t>
      </w:r>
      <w:r>
        <w:t xml:space="preserve"> </w:t>
      </w:r>
      <w:hyperlink w:anchor="fig-selectivity-sc-allowance-ssb">
        <w:r>
          <w:rPr>
            <w:rStyle w:val="Hyperlink"/>
          </w:rPr>
          <w:t xml:space="preserve">Figure 6</w:t>
        </w:r>
      </w:hyperlink>
      <w:r>
        <w:t xml:space="preserve"> </w:t>
      </w:r>
      <w:r>
        <w:t xml:space="preserve">shows that restoring that one source of selectivity flexibility pulls the stock trajectory partway back toward</w:t>
      </w:r>
      <w:r>
        <w:t xml:space="preserve"> </w:t>
      </w:r>
      <w:r>
        <w:rPr>
          <w:rStyle w:val="VerbatimChar"/>
        </w:rPr>
        <w:t xml:space="preserve">h1_2.00</w:t>
      </w:r>
      <w:r>
        <w:t xml:space="preserve">, although it does not fully recover the reduced-index baseline.</w:t>
      </w:r>
    </w:p>
    <w:p>
      <w:pPr>
        <w:pStyle w:val="BodyText"/>
      </w:pPr>
      <w:r>
        <w:rPr>
          <w:b/>
          <w:bCs/>
        </w:rPr>
        <w:t xml:space="preserve">69.</w:t>
      </w:r>
      <w:r>
        <w:t xml:space="preserve"> </w:t>
      </w:r>
      <w:r>
        <w:t xml:space="preserve">The corresponding selectivity surfaces are shown in</w:t>
      </w:r>
      <w:r>
        <w:t xml:space="preserve"> </w:t>
      </w:r>
      <w:hyperlink w:anchor="fig-selectivity-sc-allowance-compare">
        <w:r>
          <w:rPr>
            <w:rStyle w:val="Hyperlink"/>
          </w:rPr>
          <w:t xml:space="preserve">Figure 8</w:t>
        </w:r>
      </w:hyperlink>
      <w:r>
        <w:t xml:space="preserve">. This comparison makes the construction of</w:t>
      </w:r>
      <w:r>
        <w:t xml:space="preserve"> </w:t>
      </w:r>
      <w:r>
        <w:rPr>
          <w:rStyle w:val="VerbatimChar"/>
        </w:rPr>
        <w:t xml:space="preserve">h1_2.01.1</w:t>
      </w:r>
      <w:r>
        <w:t xml:space="preserve"> </w:t>
      </w:r>
      <w:r>
        <w:t xml:space="preserve">explicit: the North Chile, Far North, and Offshore fleets retain the block-based patterns from</w:t>
      </w:r>
      <w:r>
        <w:t xml:space="preserve"> </w:t>
      </w:r>
      <w:r>
        <w:rPr>
          <w:rStyle w:val="VerbatimChar"/>
        </w:rPr>
        <w:t xml:space="preserve">h1_2.01</w:t>
      </w:r>
      <w:r>
        <w:t xml:space="preserve">, while the South-Central Chile fishery reverts to the more flexible annual treatment. The main visual difference between the two panels is therefore concentrated in that one fishery, which is the intended diagnostic for whether the broader changes in</w:t>
      </w:r>
      <w:r>
        <w:t xml:space="preserve"> </w:t>
      </w:r>
      <w:r>
        <w:rPr>
          <w:rStyle w:val="VerbatimChar"/>
        </w:rPr>
        <w:t xml:space="preserve">h1_2.01</w:t>
      </w:r>
      <w:r>
        <w:t xml:space="preserve"> </w:t>
      </w:r>
      <w:r>
        <w:t xml:space="preserve">are being driven primarily by S-C Chile selectivity regularization.</w:t>
      </w:r>
    </w:p>
    <w:bookmarkStart w:id="82" w:name="fig-selectivity-sc-allowance-compare"/>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77" w:name="fig-selectivity-sc-allowance-compare-1"/>
                <w:p>
                  <w:pPr>
                    <w:pStyle w:val="Compact"/>
                    <w:jc w:val="center"/>
                    <w:jc w:val="left"/>
                  </w:pPr>
                  <w:r>
                    <w:drawing>
                      <wp:inline>
                        <wp:extent cx="2971800" cy="4754880"/>
                        <wp:effectExtent b="0" l="0" r="0" t="0"/>
                        <wp:docPr descr="" title="" id="75" name="Picture"/>
                        <a:graphic>
                          <a:graphicData uri="http://schemas.openxmlformats.org/drawingml/2006/picture">
                            <pic:pic>
                              <pic:nvPicPr>
                                <pic:cNvPr descr="SCW16-Paper-01_files/figure-docx/fig-selectivity-sc-allowance-compare-1.png" id="76" name="Picture"/>
                                <pic:cNvPicPr>
                                  <a:picLocks noChangeArrowheads="1" noChangeAspect="1"/>
                                </pic:cNvPicPr>
                              </pic:nvPicPr>
                              <pic:blipFill>
                                <a:blip r:embed="rId74"/>
                                <a:stretch>
                                  <a:fillRect/>
                                </a:stretch>
                              </pic:blipFill>
                              <pic:spPr bwMode="auto">
                                <a:xfrm>
                                  <a:off x="0" y="0"/>
                                  <a:ext cx="2971800" cy="4754880"/>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(a) Model</w:t>
                  </w:r>
                  <w:r>
                    <w:t xml:space="preserve"> </w:t>
                  </w:r>
                  <w:r>
                    <w:rPr>
                      <w:rStyle w:val="VerbatimChar"/>
                    </w:rPr>
                    <w:t xml:space="preserve">h1_2.01</w:t>
                  </w:r>
                </w:p>
                <w:bookmarkEnd w:id="77"/>
              </w:tc>
            </w:tr>
          </w:tbl>
          <w:p/>
        </w:tc>
        <w:tc>
          <w:tcPr/>
          <w:tbl>
            <w:tblPr>
              <w:tblStyle w:val="Table"/>
              <w:tblW w:type="pct" w:w="4900"/>
              <w:tblLayout w:type="fixed"/>
              <w:tblLook w:firstRow="0" w:lastRow="0" w:firstColumn="0" w:lastColumn="0" w:noHBand="0" w:noVBand="0" w:val="0000"/>
            </w:tblPr>
            <w:tblGrid>
              <w:gridCol w:w="7761"/>
            </w:tblGrid>
            <w:tr>
              <w:tc>
                <w:tcPr/>
                <w:bookmarkStart w:id="81" w:name="fig-selectivity-sc-allowance-compare-2"/>
                <w:p>
                  <w:pPr>
                    <w:pStyle w:val="Compact"/>
                    <w:jc w:val="center"/>
                    <w:jc w:val="left"/>
                  </w:pPr>
                  <w:r>
                    <w:drawing>
                      <wp:inline>
                        <wp:extent cx="2971800" cy="4754880"/>
                        <wp:effectExtent b="0" l="0" r="0" t="0"/>
                        <wp:docPr descr="" title="" id="79" name="Picture"/>
                        <a:graphic>
                          <a:graphicData uri="http://schemas.openxmlformats.org/drawingml/2006/picture">
                            <pic:pic>
                              <pic:nvPicPr>
                                <pic:cNvPr descr="SCW16-Paper-01_files/figure-docx/fig-selectivity-sc-allowance-compare-2.png" id="80" name="Picture"/>
                                <pic:cNvPicPr>
                                  <a:picLocks noChangeArrowheads="1" noChangeAspect="1"/>
                                </pic:cNvPicPr>
                              </pic:nvPicPr>
                              <pic:blipFill>
                                <a:blip r:embed="rId78"/>
                                <a:stretch>
                                  <a:fillRect/>
                                </a:stretch>
                              </pic:blipFill>
                              <pic:spPr bwMode="auto">
                                <a:xfrm>
                                  <a:off x="0" y="0"/>
                                  <a:ext cx="2971800" cy="4754880"/>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(b) Model</w:t>
                  </w:r>
                  <w:r>
                    <w:t xml:space="preserve"> </w:t>
                  </w:r>
                  <w:r>
                    <w:rPr>
                      <w:rStyle w:val="VerbatimChar"/>
                    </w:rPr>
                    <w:t xml:space="preserve">h1_2.01.1</w:t>
                  </w:r>
                </w:p>
                <w:bookmarkEnd w:id="81"/>
              </w:tc>
            </w:tr>
          </w:tbl>
          <w:p/>
        </w:tc>
      </w:tr>
    </w:tbl>
    <w:p>
      <w:pPr>
        <w:pStyle w:val="BodyText"/>
      </w:pPr>
      <w:pPr>
        <w:spacing w:before="200"/>
        <w:pStyle w:val="ImageCaption"/>
      </w:pPr>
      <w:r>
        <w:t xml:space="preserve">Figure 8: Estimates of selectivity by fishery over time for Models</w:t>
      </w:r>
      <w:r>
        <w:t xml:space="preserve"> </w:t>
      </w:r>
      <w:r>
        <w:rPr>
          <w:rStyle w:val="VerbatimChar"/>
        </w:rPr>
        <w:t xml:space="preserve">h1_2.01</w:t>
      </w:r>
      <w:r>
        <w:t xml:space="preserve"> </w:t>
      </w:r>
      <w:r>
        <w:t xml:space="preserve">and</w:t>
      </w:r>
      <w:r>
        <w:t xml:space="preserve"> </w:t>
      </w:r>
      <w:r>
        <w:rPr>
          <w:rStyle w:val="VerbatimChar"/>
        </w:rPr>
        <w:t xml:space="preserve">h1_2.01.1</w:t>
      </w:r>
      <w:r>
        <w:t xml:space="preserve">, shown in the same style as Figure 37 of the SC13 Jack Mackerel Technical Annex</w:t>
      </w:r>
      <w:r>
        <w:t xml:space="preserve"> </w:t>
      </w:r>
      <w:r>
        <w:t xml:space="preserve">(SPRFMO Scientific Committee, 2025)</w:t>
      </w:r>
      <w:r>
        <w:t xml:space="preserve">.</w:t>
      </w:r>
    </w:p>
    <w:bookmarkEnd w:id="82"/>
    <w:p>
      <w:pPr>
        <w:pStyle w:val="BodyText"/>
      </w:pPr>
      <w:r>
        <w:rPr>
          <w:b/>
          <w:bCs/>
        </w:rPr>
        <w:t xml:space="preserve">70.</w:t>
      </w:r>
      <w:r>
        <w:t xml:space="preserve"> </w:t>
      </w:r>
      <w:r>
        <w:t xml:space="preserve">The more detailed fit comparison is shown in</w:t>
      </w:r>
      <w:r>
        <w:t xml:space="preserve"> </w:t>
      </w:r>
      <w:hyperlink w:anchor="tbl-selectivity-scflex-like-components">
        <w:r>
          <w:rPr>
            <w:rStyle w:val="Hyperlink"/>
          </w:rPr>
          <w:t xml:space="preserve">Table 4</w:t>
        </w:r>
      </w:hyperlink>
      <w:r>
        <w:t xml:space="preserve">. Restoring annual flexibility for the South-Central Chile fishery reduces the total negative log likelihood from</w:t>
      </w:r>
      <w:r>
        <w:t xml:space="preserve"> </w:t>
      </w:r>
      <w:r>
        <w:rPr>
          <w:rStyle w:val="VerbatimChar"/>
        </w:rPr>
        <w:t xml:space="preserve">1544.1</w:t>
      </w:r>
      <w:r>
        <w:t xml:space="preserve"> </w:t>
      </w:r>
      <w:r>
        <w:t xml:space="preserve">in</w:t>
      </w:r>
      <w:r>
        <w:t xml:space="preserve"> </w:t>
      </w:r>
      <w:r>
        <w:rPr>
          <w:rStyle w:val="VerbatimChar"/>
        </w:rPr>
        <w:t xml:space="preserve">h1_2.01</w:t>
      </w:r>
      <w:r>
        <w:t xml:space="preserve"> </w:t>
      </w:r>
      <w:r>
        <w:t xml:space="preserve">to</w:t>
      </w:r>
      <w:r>
        <w:t xml:space="preserve"> </w:t>
      </w:r>
      <w:r>
        <w:rPr>
          <w:rStyle w:val="VerbatimChar"/>
        </w:rPr>
        <w:t xml:space="preserve">1364.8</w:t>
      </w:r>
      <w:r>
        <w:t xml:space="preserve"> </w:t>
      </w:r>
      <w:r>
        <w:t xml:space="preserve">in</w:t>
      </w:r>
      <w:r>
        <w:t xml:space="preserve"> </w:t>
      </w:r>
      <w:r>
        <w:rPr>
          <w:rStyle w:val="VerbatimChar"/>
        </w:rPr>
        <w:t xml:space="preserve">h1_2.01.1</w:t>
      </w:r>
      <w:r>
        <w:t xml:space="preserve">, while increasing the parameter count from</w:t>
      </w:r>
      <w:r>
        <w:t xml:space="preserve"> </w:t>
      </w:r>
      <w:r>
        <w:rPr>
          <w:rStyle w:val="VerbatimChar"/>
        </w:rPr>
        <w:t xml:space="preserve">480</w:t>
      </w:r>
      <w:r>
        <w:t xml:space="preserve"> </w:t>
      </w:r>
      <w:r>
        <w:t xml:space="preserve">to</w:t>
      </w:r>
      <w:r>
        <w:t xml:space="preserve"> </w:t>
      </w:r>
      <w:r>
        <w:rPr>
          <w:rStyle w:val="VerbatimChar"/>
        </w:rPr>
        <w:t xml:space="preserve">870</w:t>
      </w:r>
      <w:r>
        <w:t xml:space="preserve">. The largest direct improvement is in the South-Central Chile fishery age-composition term, which falls from about</w:t>
      </w:r>
      <w:r>
        <w:t xml:space="preserve"> </w:t>
      </w:r>
      <w:r>
        <w:rPr>
          <w:rStyle w:val="VerbatimChar"/>
        </w:rPr>
        <w:t xml:space="preserve">307.3</w:t>
      </w:r>
      <w:r>
        <w:t xml:space="preserve"> </w:t>
      </w:r>
      <w:r>
        <w:t xml:space="preserve">to</w:t>
      </w:r>
      <w:r>
        <w:t xml:space="preserve"> </w:t>
      </w:r>
      <w:r>
        <w:rPr>
          <w:rStyle w:val="VerbatimChar"/>
        </w:rPr>
        <w:t xml:space="preserve">139.2</w:t>
      </w:r>
      <w:r>
        <w:t xml:space="preserve">, close to the</w:t>
      </w:r>
      <w:r>
        <w:t xml:space="preserve"> </w:t>
      </w:r>
      <w:r>
        <w:rPr>
          <w:rStyle w:val="VerbatimChar"/>
        </w:rPr>
        <w:t xml:space="preserve">h1_2.00</w:t>
      </w:r>
      <w:r>
        <w:t xml:space="preserve"> </w:t>
      </w:r>
      <w:r>
        <w:t xml:space="preserve">value of</w:t>
      </w:r>
      <w:r>
        <w:t xml:space="preserve"> </w:t>
      </w:r>
      <w:r>
        <w:rPr>
          <w:rStyle w:val="VerbatimChar"/>
        </w:rPr>
        <w:t xml:space="preserve">124.0</w:t>
      </w:r>
      <w:r>
        <w:t xml:space="preserve">. Aggregate retained-index fit also improves materially, from about</w:t>
      </w:r>
      <w:r>
        <w:t xml:space="preserve"> </w:t>
      </w:r>
      <w:r>
        <w:rPr>
          <w:rStyle w:val="VerbatimChar"/>
        </w:rPr>
        <w:t xml:space="preserve">258.0</w:t>
      </w:r>
      <w:r>
        <w:t xml:space="preserve"> </w:t>
      </w:r>
      <w:r>
        <w:t xml:space="preserve">to</w:t>
      </w:r>
      <w:r>
        <w:t xml:space="preserve"> </w:t>
      </w:r>
      <w:r>
        <w:rPr>
          <w:rStyle w:val="VerbatimChar"/>
        </w:rPr>
        <w:t xml:space="preserve">185.9</w:t>
      </w:r>
      <w:r>
        <w:t xml:space="preserve">, although fishery length compositions remain much worse than in</w:t>
      </w:r>
      <w:r>
        <w:t xml:space="preserve"> </w:t>
      </w:r>
      <w:r>
        <w:rPr>
          <w:rStyle w:val="VerbatimChar"/>
        </w:rPr>
        <w:t xml:space="preserve">h1_2.00</w:t>
      </w:r>
      <w:r>
        <w:t xml:space="preserve">. Taken together, the figure and table suggest that a substantial part of the penalty in</w:t>
      </w:r>
      <w:r>
        <w:t xml:space="preserve"> </w:t>
      </w:r>
      <w:r>
        <w:rPr>
          <w:rStyle w:val="VerbatimChar"/>
        </w:rPr>
        <w:t xml:space="preserve">h1_2.01</w:t>
      </w:r>
      <w:r>
        <w:t xml:space="preserve"> </w:t>
      </w:r>
      <w:r>
        <w:t xml:space="preserve">comes from over-constraining the S-C Chile selectivity history, but not all of it.</w:t>
      </w:r>
    </w:p>
    <w:tbl>
      <w:tblPr>
        <w:tblStyle w:val="Table"/>
        <w:tblW w:type="pct" w:w="5000"/>
        <w:tblLayout w:type="fixed"/>
        <w:tblLook w:firstRow="0" w:lastRow="0" w:firstColumn="0" w:lastColumn="0" w:noHBand="0" w:noVBand="0" w:val="0000"/>
      </w:tblPr>
      <w:tblGrid>
        <w:gridCol w:w="7920"/>
      </w:tblGrid>
      <w:tr>
        <w:tc>
          <w:tcPr/>
          <w:bookmarkStart w:id="83" w:name="tbl-selectivity-scflex-like-components"/>
          <w:p>
            <w:pPr>
              <w:jc w:val="center"/>
            </w:pPr>
            <w:pPr>
              <w:jc w:val="left"/>
              <w:spacing w:before="200"/>
              <w:pStyle w:val="ImageCaption"/>
            </w:pPr>
            <w:r>
              <w:t xml:space="preserve">Table 4: Negative-log-likelihood components and estimated parameter counts for the reduced-index sensitivity (</w:t>
            </w:r>
            <w:r>
              <w:rPr>
                <w:rStyle w:val="VerbatimChar"/>
              </w:rPr>
              <w:t xml:space="preserve">h1_2.00</w:t>
            </w:r>
            <w:r>
              <w:t xml:space="preserve">), the reduced-index model with fishery selectivity blocks (</w:t>
            </w:r>
            <w:r>
              <w:rPr>
                <w:rStyle w:val="VerbatimChar"/>
              </w:rPr>
              <w:t xml:space="preserve">h1_2.01</w:t>
            </w:r>
            <w:r>
              <w:t xml:space="preserve">), and the intermediate selectivity variant (</w:t>
            </w:r>
            <w:r>
              <w:rPr>
                <w:rStyle w:val="VerbatimChar"/>
              </w:rPr>
              <w:t xml:space="preserve">h1_2.01.1</w:t>
            </w:r>
            <w:r>
              <w:t xml:space="preserve">) in which the South-Central Chile fishery retains the annual selectivity variability allowance. The aggregate and component index rows include only the retained comparable series: Acoustic North, Chile CPUE, Peru CPUE, and Offshore CPUE.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Component</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h1_2.00</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h1_2.01</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h1_2.01.1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Catch likelihood</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0.8</w:t>
                  </w:r>
                </w:p>
              </w:tc>
              <w:tc>
                <w:tcPr>
                  <w:tcBorders>
                    <w:top w:val="single" w:space="0" w:color="D3D3D3"/>
                    <w:bottom w:val="single" w:space="0" w:color="D3D3D3"/>
                    <w:start w:val="single" w:space="0" w:color="D3D3D3"/>
                    <w:end w:val="single" w:space="0" w:color="D3D3D3"/>
                  </w:tcBorders>
                  <w:shd w:val="clear" w:color="auto" w:fill="FCAF92"/>
                </w:tcPr>
                <w:p>
                  <w:pPr>
                    <w:spacing w:before="0" w:after="60"/>
                    <w:keepNext/>
                    <w:jc w:val="end"/>
                  </w:pPr>
                  <w:r>
                    <w:rPr>
                      <w:rFonts w:ascii="Calibri" w:hAnsi="Calibri"/>
                      <w:sz w:val="20"/>
                    </w:rPr>
                    <w:t xml:space="default">0.8</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1.1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Fishery age compositions</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262.9</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549.8</w:t>
                  </w:r>
                </w:p>
              </w:tc>
              <w:tc>
                <w:tcPr>
                  <w:tcBorders>
                    <w:top w:val="single" w:space="0" w:color="D3D3D3"/>
                    <w:bottom w:val="single" w:space="0" w:color="D3D3D3"/>
                    <w:start w:val="single" w:space="0" w:color="D3D3D3"/>
                    <w:end w:val="single" w:space="0" w:color="D3D3D3"/>
                  </w:tcBorders>
                  <w:shd w:val="clear" w:color="auto" w:fill="FDCAB6"/>
                </w:tcPr>
                <w:p>
                  <w:pPr>
                    <w:spacing w:before="0" w:after="60"/>
                    <w:keepNext/>
                    <w:jc w:val="end"/>
                  </w:pPr>
                  <w:r>
                    <w:rPr>
                      <w:rFonts w:ascii="Calibri" w:hAnsi="Calibri"/>
                      <w:sz w:val="20"/>
                    </w:rPr>
                    <w:t xml:space="default">374.8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North Chile fishery age comps</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113.2</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202.8</w:t>
                  </w:r>
                </w:p>
              </w:tc>
              <w:tc>
                <w:tcPr>
                  <w:tcBorders>
                    <w:top w:val="single" w:space="0" w:color="D3D3D3"/>
                    <w:bottom w:val="single" w:space="0" w:color="D3D3D3"/>
                    <w:start w:val="single" w:space="0" w:color="D3D3D3"/>
                    <w:end w:val="single" w:space="0" w:color="D3D3D3"/>
                  </w:tcBorders>
                  <w:shd w:val="clear" w:color="auto" w:fill="FFF2EC"/>
                </w:tcPr>
                <w:p>
                  <w:pPr>
                    <w:spacing w:before="0" w:after="60"/>
                    <w:keepNext/>
                    <w:jc w:val="end"/>
                  </w:pPr>
                  <w:r>
                    <w:rPr>
                      <w:rFonts w:ascii="Calibri" w:hAnsi="Calibri"/>
                      <w:sz w:val="20"/>
                    </w:rPr>
                    <w:t xml:space="default">199.0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S-C Chile fishery age comps</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124.0</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307.3</w:t>
                  </w:r>
                </w:p>
              </w:tc>
              <w:tc>
                <w:tcPr>
                  <w:tcBorders>
                    <w:top w:val="single" w:space="0" w:color="D3D3D3"/>
                    <w:bottom w:val="single" w:space="0" w:color="D3D3D3"/>
                    <w:start w:val="single" w:space="0" w:color="D3D3D3"/>
                    <w:end w:val="single" w:space="0" w:color="D3D3D3"/>
                  </w:tcBorders>
                  <w:shd w:val="clear" w:color="auto" w:fill="FCB499"/>
                </w:tcPr>
                <w:p>
                  <w:pPr>
                    <w:spacing w:before="0" w:after="60"/>
                    <w:keepNext/>
                    <w:jc w:val="end"/>
                  </w:pPr>
                  <w:r>
                    <w:rPr>
                      <w:rFonts w:ascii="Calibri" w:hAnsi="Calibri"/>
                      <w:sz w:val="20"/>
                    </w:rPr>
                    <w:t xml:space="default">139.2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Offshore trawl fishery age comps</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25.7</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39.7</w:t>
                  </w:r>
                </w:p>
              </w:tc>
              <w:tc>
                <w:tcPr>
                  <w:tcBorders>
                    <w:top w:val="single" w:space="0" w:color="D3D3D3"/>
                    <w:bottom w:val="single" w:space="0" w:color="D3D3D3"/>
                    <w:start w:val="single" w:space="0" w:color="D3D3D3"/>
                    <w:end w:val="single" w:space="0" w:color="D3D3D3"/>
                  </w:tcBorders>
                  <w:shd w:val="clear" w:color="auto" w:fill="FEE5DA"/>
                </w:tcPr>
                <w:p>
                  <w:pPr>
                    <w:spacing w:before="0" w:after="60"/>
                    <w:keepNext/>
                    <w:jc w:val="end"/>
                  </w:pPr>
                  <w:r>
                    <w:rPr>
                      <w:rFonts w:ascii="Calibri" w:hAnsi="Calibri"/>
                      <w:sz w:val="20"/>
                    </w:rPr>
                    <w:t xml:space="default">36.5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Fishery length compositions</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470.2</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581.9</w:t>
                  </w:r>
                </w:p>
              </w:tc>
              <w:tc>
                <w:tcPr>
                  <w:tcBorders>
                    <w:top w:val="single" w:space="0" w:color="D3D3D3"/>
                    <w:bottom w:val="single" w:space="0" w:color="D3D3D3"/>
                    <w:start w:val="single" w:space="0" w:color="D3D3D3"/>
                    <w:end w:val="single" w:space="0" w:color="D3D3D3"/>
                  </w:tcBorders>
                  <w:shd w:val="clear" w:color="auto" w:fill="FFECE3"/>
                </w:tcPr>
                <w:p>
                  <w:pPr>
                    <w:spacing w:before="0" w:after="60"/>
                    <w:keepNext/>
                    <w:jc w:val="end"/>
                  </w:pPr>
                  <w:r>
                    <w:rPr>
                      <w:rFonts w:ascii="Calibri" w:hAnsi="Calibri"/>
                      <w:sz w:val="20"/>
                    </w:rPr>
                    <w:t xml:space="default">567.0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Fishery selectivity penalties</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329.7</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114.4</w:t>
                  </w:r>
                </w:p>
              </w:tc>
              <w:tc>
                <w:tcPr>
                  <w:tcBorders>
                    <w:top w:val="single" w:space="0" w:color="D3D3D3"/>
                    <w:bottom w:val="single" w:space="0" w:color="D3D3D3"/>
                    <w:start w:val="single" w:space="0" w:color="D3D3D3"/>
                    <w:end w:val="single" w:space="0" w:color="D3D3D3"/>
                  </w:tcBorders>
                  <w:shd w:val="clear" w:color="auto" w:fill="FDC9B5"/>
                </w:tcPr>
                <w:p>
                  <w:pPr>
                    <w:spacing w:before="0" w:after="60"/>
                    <w:keepNext/>
                    <w:jc w:val="end"/>
                  </w:pPr>
                  <w:r>
                    <w:rPr>
                      <w:rFonts w:ascii="Calibri" w:hAnsi="Calibri"/>
                      <w:sz w:val="20"/>
                    </w:rPr>
                    <w:t xml:space="default">196.0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Index likelihood</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130.6</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258.0</w:t>
                  </w:r>
                </w:p>
              </w:tc>
              <w:tc>
                <w:tcPr>
                  <w:tcBorders>
                    <w:top w:val="single" w:space="0" w:color="D3D3D3"/>
                    <w:bottom w:val="single" w:space="0" w:color="D3D3D3"/>
                    <w:start w:val="single" w:space="0" w:color="D3D3D3"/>
                    <w:end w:val="single" w:space="0" w:color="D3D3D3"/>
                  </w:tcBorders>
                  <w:shd w:val="clear" w:color="auto" w:fill="FDCDBA"/>
                </w:tcPr>
                <w:p>
                  <w:pPr>
                    <w:spacing w:before="0" w:after="60"/>
                    <w:keepNext/>
                    <w:jc w:val="end"/>
                  </w:pPr>
                  <w:r>
                    <w:rPr>
                      <w:rFonts w:ascii="Calibri" w:hAnsi="Calibri"/>
                      <w:sz w:val="20"/>
                    </w:rPr>
                    <w:t xml:space="default">185.9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Chile acoustic North index</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73.2</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87.7</w:t>
                  </w:r>
                </w:p>
              </w:tc>
              <w:tc>
                <w:tcPr>
                  <w:tcBorders>
                    <w:top w:val="single" w:space="0" w:color="D3D3D3"/>
                    <w:bottom w:val="single" w:space="0" w:color="D3D3D3"/>
                    <w:start w:val="single" w:space="0" w:color="D3D3D3"/>
                    <w:end w:val="single" w:space="0" w:color="D3D3D3"/>
                  </w:tcBorders>
                  <w:shd w:val="clear" w:color="auto" w:fill="FDC1AA"/>
                </w:tcPr>
                <w:p>
                  <w:pPr>
                    <w:spacing w:before="0" w:after="60"/>
                    <w:keepNext/>
                    <w:jc w:val="end"/>
                  </w:pPr>
                  <w:r>
                    <w:rPr>
                      <w:rFonts w:ascii="Calibri" w:hAnsi="Calibri"/>
                      <w:sz w:val="20"/>
                    </w:rPr>
                    <w:t xml:space="default">77.0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Chile CPUE index</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17.0</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73.5</w:t>
                  </w:r>
                </w:p>
              </w:tc>
              <w:tc>
                <w:tcPr>
                  <w:tcBorders>
                    <w:top w:val="single" w:space="0" w:color="D3D3D3"/>
                    <w:bottom w:val="single" w:space="0" w:color="D3D3D3"/>
                    <w:start w:val="single" w:space="0" w:color="D3D3D3"/>
                    <w:end w:val="single" w:space="0" w:color="D3D3D3"/>
                  </w:tcBorders>
                  <w:shd w:val="clear" w:color="auto" w:fill="FCB69C"/>
                </w:tcPr>
                <w:p>
                  <w:pPr>
                    <w:spacing w:before="0" w:after="60"/>
                    <w:keepNext/>
                    <w:jc w:val="end"/>
                  </w:pPr>
                  <w:r>
                    <w:rPr>
                      <w:rFonts w:ascii="Calibri" w:hAnsi="Calibri"/>
                      <w:sz w:val="20"/>
                    </w:rPr>
                    <w:t xml:space="default">23.3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Peru CPUE index</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29.5</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65.3</w:t>
                  </w:r>
                </w:p>
              </w:tc>
              <w:tc>
                <w:tcPr>
                  <w:tcBorders>
                    <w:top w:val="single" w:space="0" w:color="D3D3D3"/>
                    <w:bottom w:val="single" w:space="0" w:color="D3D3D3"/>
                    <w:start w:val="single" w:space="0" w:color="D3D3D3"/>
                    <w:end w:val="single" w:space="0" w:color="D3D3D3"/>
                  </w:tcBorders>
                  <w:shd w:val="clear" w:color="auto" w:fill="FED9CB"/>
                </w:tcPr>
                <w:p>
                  <w:pPr>
                    <w:spacing w:before="0" w:after="60"/>
                    <w:keepNext/>
                    <w:jc w:val="end"/>
                  </w:pPr>
                  <w:r>
                    <w:rPr>
                      <w:rFonts w:ascii="Calibri" w:hAnsi="Calibri"/>
                      <w:sz w:val="20"/>
                    </w:rPr>
                    <w:t xml:space="default">51.3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Offshore CPUE index</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10.9</w:t>
                  </w:r>
                </w:p>
              </w:tc>
              <w:tc>
                <w:tcPr>
                  <w:tcBorders>
                    <w:top w:val="single" w:space="0" w:color="D3D3D3"/>
                    <w:bottom w:val="single" w:space="0" w:color="D3D3D3"/>
                    <w:start w:val="single" w:space="0" w:color="D3D3D3"/>
                    <w:end w:val="single" w:space="0" w:color="D3D3D3"/>
                  </w:tcBorders>
                  <w:shd w:val="clear" w:color="auto" w:fill="FFECE4"/>
                </w:tcPr>
                <w:p>
                  <w:pPr>
                    <w:spacing w:before="0" w:after="60"/>
                    <w:keepNext/>
                    <w:jc w:val="end"/>
                  </w:pPr>
                  <w:r>
                    <w:rPr>
                      <w:rFonts w:ascii="Calibri" w:hAnsi="Calibri"/>
                      <w:sz w:val="20"/>
                    </w:rPr>
                    <w:t xml:space="default">31.4</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34.3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Index age compositions</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38.1</w:t>
                  </w:r>
                </w:p>
              </w:tc>
              <w:tc>
                <w:tcPr>
                  <w:tcBorders>
                    <w:top w:val="single" w:space="0" w:color="D3D3D3"/>
                    <w:bottom w:val="single" w:space="0" w:color="D3D3D3"/>
                    <w:start w:val="single" w:space="0" w:color="D3D3D3"/>
                    <w:end w:val="single" w:space="0" w:color="D3D3D3"/>
                  </w:tcBorders>
                  <w:shd w:val="clear" w:color="auto" w:fill="FFEBE3"/>
                </w:tcPr>
                <w:p>
                  <w:pPr>
                    <w:spacing w:before="0" w:after="60"/>
                    <w:keepNext/>
                    <w:jc w:val="end"/>
                  </w:pPr>
                  <w:r>
                    <w:rPr>
                      <w:rFonts w:ascii="Calibri" w:hAnsi="Calibri"/>
                      <w:sz w:val="20"/>
                    </w:rPr>
                    <w:t xml:space="default">37.8</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35.8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Index selectivity penalties</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6.1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3.9</w:t>
                  </w:r>
                </w:p>
              </w:tc>
              <w:tc>
                <w:tcPr>
                  <w:tcBorders>
                    <w:top w:val="single" w:space="0" w:color="D3D3D3"/>
                    <w:bottom w:val="single" w:space="0" w:color="D3D3D3"/>
                    <w:start w:val="single" w:space="0" w:color="D3D3D3"/>
                    <w:end w:val="single" w:space="0" w:color="D3D3D3"/>
                  </w:tcBorders>
                  <w:shd w:val="clear" w:color="auto" w:fill="FDD0BE"/>
                </w:tcPr>
                <w:p>
                  <w:pPr>
                    <w:spacing w:before="0" w:after="60"/>
                    <w:keepNext/>
                    <w:jc w:val="end"/>
                  </w:pPr>
                  <w:r>
                    <w:rPr>
                      <w:rFonts w:ascii="Calibri" w:hAnsi="Calibri"/>
                      <w:sz w:val="20"/>
                    </w:rPr>
                    <w:t xml:space="default">5.0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Recruitment term</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-3.9</w:t>
                  </w:r>
                </w:p>
              </w:tc>
              <w:tc>
                <w:tcPr>
                  <w:tcBorders>
                    <w:top w:val="single" w:space="0" w:color="D3D3D3"/>
                    <w:bottom w:val="single" w:space="0" w:color="D3D3D3"/>
                    <w:start w:val="single" w:space="0" w:color="D3D3D3"/>
                    <w:end w:val="single" w:space="0" w:color="D3D3D3"/>
                  </w:tcBorders>
                  <w:shd w:val="clear" w:color="auto" w:fill="FDCDBB"/>
                </w:tcPr>
                <w:p>
                  <w:pPr>
                    <w:spacing w:before="0" w:after="60"/>
                    <w:keepNext/>
                    <w:jc w:val="end"/>
                  </w:pPr>
                  <w:r>
                    <w:rPr>
                      <w:rFonts w:ascii="Calibri" w:hAnsi="Calibri"/>
                      <w:sz w:val="20"/>
                    </w:rPr>
                    <w:t xml:space="default">-2.6</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-0.9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Fishing mortality penalty</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0.0</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0.0</w:t>
                  </w:r>
                </w:p>
              </w:tc>
              <w:tc>
                <w:tcPr>
                  <w:tcBorders>
                    <w:top w:val="single" w:space="0" w:color="D3D3D3"/>
                    <w:bottom w:val="single" w:space="0" w:color="D3D3D3"/>
                    <w:start w:val="single" w:space="0" w:color="D3D3D3"/>
                    <w:end w:val="single" w:space="0" w:color="D3D3D3"/>
                  </w:tcBorders>
                  <w:shd w:val="clear" w:color="auto" w:fill="FCB79D"/>
                </w:tcPr>
                <w:p>
                  <w:pPr>
                    <w:spacing w:before="0" w:after="60"/>
                    <w:keepNext/>
                    <w:jc w:val="end"/>
                  </w:pPr>
                  <w:r>
                    <w:rPr>
                      <w:rFonts w:ascii="Calibri" w:hAnsi="Calibri"/>
                      <w:sz w:val="20"/>
                    </w:rPr>
                    <w:t xml:space="default">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Index q priors</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0.1</w:t>
                  </w:r>
                </w:p>
              </w:tc>
              <w:tc>
                <w:tcPr>
                  <w:tcBorders>
                    <w:top w:val="single" w:space="0" w:color="D3D3D3"/>
                    <w:bottom w:val="single" w:space="0" w:color="D3D3D3"/>
                    <w:start w:val="single" w:space="0" w:color="D3D3D3"/>
                    <w:end w:val="single" w:space="0" w:color="D3D3D3"/>
                  </w:tcBorders>
                  <w:shd w:val="clear" w:color="auto" w:fill="FED3C3"/>
                </w:tcPr>
                <w:p>
                  <w:pPr>
                    <w:spacing w:before="0" w:after="60"/>
                    <w:keepNext/>
                    <w:jc w:val="end"/>
                  </w:pPr>
                  <w:r>
                    <w:rPr>
                      <w:rFonts w:ascii="Calibri" w:hAnsi="Calibri"/>
                      <w:sz w:val="20"/>
                    </w:rPr>
                    <w:t xml:space="default">0.1</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Residual term</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0.1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0.0</w:t>
                  </w:r>
                </w:p>
              </w:tc>
              <w:tc>
                <w:tcPr>
                  <w:tcBorders>
                    <w:top w:val="single" w:space="0" w:color="D3D3D3"/>
                    <w:bottom w:val="single" w:space="0" w:color="D3D3D3"/>
                    <w:start w:val="single" w:space="0" w:color="D3D3D3"/>
                    <w:end w:val="single" w:space="0" w:color="D3D3D3"/>
                  </w:tcBorders>
                  <w:shd w:val="clear" w:color="auto" w:fill="FCB69C"/>
                </w:tcPr>
                <w:p>
                  <w:pPr>
                    <w:spacing w:before="0" w:after="60"/>
                    <w:keepNext/>
                    <w:jc w:val="end"/>
                  </w:pPr>
                  <w:r>
                    <w:rPr>
                      <w:rFonts w:ascii="Calibri" w:hAnsi="Calibri"/>
                      <w:sz w:val="20"/>
                    </w:rPr>
                    <w:t xml:space="default">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Total negative log likelihood</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1,234.7</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1,544.1</w:t>
                  </w:r>
                </w:p>
              </w:tc>
              <w:tc>
                <w:tcPr>
                  <w:tcBorders>
                    <w:top w:val="single" w:space="0" w:color="D3D3D3"/>
                    <w:bottom w:val="single" w:space="0" w:color="D3D3D3"/>
                    <w:start w:val="single" w:space="0" w:color="D3D3D3"/>
                    <w:end w:val="single" w:space="0" w:color="D3D3D3"/>
                  </w:tcBorders>
                  <w:shd w:val="clear" w:color="auto" w:fill="FDCCB9"/>
                </w:tcPr>
                <w:p>
                  <w:pPr>
                    <w:spacing w:before="0" w:after="60"/>
                    <w:keepNext/>
                    <w:jc w:val="end"/>
                  </w:pPr>
                  <w:r>
                    <w:rPr>
                      <w:rFonts w:ascii="Calibri" w:hAnsi="Calibri"/>
                      <w:sz w:val="20"/>
                    </w:rPr>
                    <w:t xml:space="default">1,364.8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Estimated parameters (count)</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1,821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480</w:t>
                  </w:r>
                </w:p>
              </w:tc>
              <w:tc>
                <w:tcPr>
                  <w:tcBorders>
                    <w:top w:val="single" w:space="0" w:color="D3D3D3"/>
                    <w:bottom w:val="single" w:space="0" w:color="D3D3D3"/>
                    <w:start w:val="single" w:space="0" w:color="D3D3D3"/>
                    <w:end w:val="single" w:space="0" w:color="D3D3D3"/>
                  </w:tcBorders>
                  <w:shd w:val="clear" w:color="auto" w:fill="FDC3AD"/>
                </w:tcPr>
                <w:p>
                  <w:pPr>
                    <w:spacing w:before="0" w:after="60"/>
                    <w:keepNext/>
                    <w:jc w:val="end"/>
                  </w:pPr>
                  <w:r>
                    <w:rPr>
                      <w:rFonts w:ascii="Calibri" w:hAnsi="Calibri"/>
                      <w:sz w:val="20"/>
                    </w:rPr>
                    <w:t xml:space="default">870</w:t>
                  </w:r>
                </w:p>
              </w:tc>
            </w:tr>
          </w:tbl>
          <w:bookmarkEnd w:id="83"/>
        </w:tc>
      </w:tr>
    </w:tbl>
    <w:p>
      <w:pPr>
        <w:pStyle w:val="BodyText"/>
      </w:pPr>
      <w:r>
        <w:rPr>
          <w:b/>
          <w:bCs/>
        </w:rPr>
        <w:t xml:space="preserve">71.</w:t>
      </w:r>
      <w:r>
        <w:t xml:space="preserve"> </w:t>
      </w:r>
      <w:r>
        <w:t xml:space="preserve">As a further check, I fitted a second South-Central Chile alternative,</w:t>
      </w:r>
      <w:r>
        <w:t xml:space="preserve"> </w:t>
      </w:r>
      <w:r>
        <w:rPr>
          <w:rStyle w:val="VerbatimChar"/>
        </w:rPr>
        <w:t xml:space="preserve">h1_2.01.2</w:t>
      </w:r>
      <w:r>
        <w:t xml:space="preserve">, which starts from</w:t>
      </w:r>
      <w:r>
        <w:t xml:space="preserve"> </w:t>
      </w:r>
      <w:r>
        <w:rPr>
          <w:rStyle w:val="VerbatimChar"/>
        </w:rPr>
        <w:t xml:space="preserve">h1_2.01.1</w:t>
      </w:r>
      <w:r>
        <w:t xml:space="preserve"> </w:t>
      </w:r>
      <w:r>
        <w:t xml:space="preserve">but replaces the annual S-C Chile selectivity history with five blocks separated at 1985, 1998, 2008, and 2016. The intention was to preserve the broad pre-1985 period, the late-1980s to 1990s narrowing of the dome, the late-1990s recruitment-regime shift, the 2008-2015 transitional period, and the distinct post-2016 shape without returning to a fully annual treatment. In practice, this five-block version converged cleanly (</w:t>
      </w:r>
      <w:r>
        <w:rPr>
          <w:rStyle w:val="VerbatimChar"/>
        </w:rPr>
        <w:t xml:space="preserve">nll = 1518.5</w:t>
      </w:r>
      <w:r>
        <w:t xml:space="preserve">,</w:t>
      </w:r>
      <w:r>
        <w:t xml:space="preserve"> </w:t>
      </w:r>
      <w:r>
        <w:rPr>
          <w:rStyle w:val="VerbatimChar"/>
        </w:rPr>
        <w:t xml:space="preserve">maxgrad = 9.6e-5</w:t>
      </w:r>
      <w:r>
        <w:t xml:space="preserve">) but performed much more like the original block model than like</w:t>
      </w:r>
      <w:r>
        <w:t xml:space="preserve"> </w:t>
      </w:r>
      <w:r>
        <w:rPr>
          <w:rStyle w:val="VerbatimChar"/>
        </w:rPr>
        <w:t xml:space="preserve">h1_2.01.1</w:t>
      </w:r>
      <w:r>
        <w:t xml:space="preserve">.</w:t>
      </w:r>
    </w:p>
    <w:p>
      <w:pPr>
        <w:pStyle w:val="BodyText"/>
      </w:pPr>
      <w:r>
        <w:rPr>
          <w:b/>
          <w:bCs/>
        </w:rPr>
        <w:t xml:space="preserve">72.</w:t>
      </w:r>
      <w:r>
        <w:t xml:space="preserve"> </w:t>
      </w:r>
      <w:r>
        <w:t xml:space="preserve">The resulting spawning biomass trajectories are shown in</w:t>
      </w:r>
      <w:r>
        <w:t xml:space="preserve"> </w:t>
      </w:r>
      <w:hyperlink w:anchor="fig-selectivity-sc5-ssb">
        <w:r>
          <w:rPr>
            <w:rStyle w:val="Hyperlink"/>
          </w:rPr>
          <w:t xml:space="preserve">Figure 12</w:t>
        </w:r>
      </w:hyperlink>
      <w:r>
        <w:t xml:space="preserve">. Relative to</w:t>
      </w:r>
      <w:r>
        <w:t xml:space="preserve"> </w:t>
      </w:r>
      <w:r>
        <w:rPr>
          <w:rStyle w:val="VerbatimChar"/>
        </w:rPr>
        <w:t xml:space="preserve">h1_2.01.1</w:t>
      </w:r>
      <w:r>
        <w:t xml:space="preserve">, the five-block S-C Chile variant moves the stock trajectory sharply upward and is closer to</w:t>
      </w:r>
      <w:r>
        <w:t xml:space="preserve"> </w:t>
      </w:r>
      <w:r>
        <w:rPr>
          <w:rStyle w:val="VerbatimChar"/>
        </w:rPr>
        <w:t xml:space="preserve">h1_2.01</w:t>
      </w:r>
      <w:r>
        <w:t xml:space="preserve"> </w:t>
      </w:r>
      <w:r>
        <w:t xml:space="preserve">than to the annual-S-C case. Its terminal spawning biomass reaches about</w:t>
      </w:r>
      <w:r>
        <w:t xml:space="preserve"> </w:t>
      </w:r>
      <w:r>
        <w:rPr>
          <w:rStyle w:val="VerbatimChar"/>
        </w:rPr>
        <w:t xml:space="preserve">23.8</w:t>
      </w:r>
      <w:r>
        <w:t xml:space="preserve"> </w:t>
      </w:r>
      <w:r>
        <w:t xml:space="preserve">kt, compared with about</w:t>
      </w:r>
      <w:r>
        <w:t xml:space="preserve"> </w:t>
      </w:r>
      <w:r>
        <w:rPr>
          <w:rStyle w:val="VerbatimChar"/>
        </w:rPr>
        <w:t xml:space="preserve">18.2</w:t>
      </w:r>
      <w:r>
        <w:t xml:space="preserve"> </w:t>
      </w:r>
      <w:r>
        <w:t xml:space="preserve">kt for</w:t>
      </w:r>
      <w:r>
        <w:t xml:space="preserve"> </w:t>
      </w:r>
      <w:r>
        <w:rPr>
          <w:rStyle w:val="VerbatimChar"/>
        </w:rPr>
        <w:t xml:space="preserve">h1_2.01.1</w:t>
      </w:r>
      <w:r>
        <w:t xml:space="preserve"> </w:t>
      </w:r>
      <w:r>
        <w:t xml:space="preserve">and</w:t>
      </w:r>
      <w:r>
        <w:t xml:space="preserve"> </w:t>
      </w:r>
      <w:r>
        <w:rPr>
          <w:rStyle w:val="VerbatimChar"/>
        </w:rPr>
        <w:t xml:space="preserve">19.9</w:t>
      </w:r>
      <w:r>
        <w:t xml:space="preserve"> </w:t>
      </w:r>
      <w:r>
        <w:t xml:space="preserve">kt for</w:t>
      </w:r>
      <w:r>
        <w:t xml:space="preserve"> </w:t>
      </w:r>
      <w:r>
        <w:rPr>
          <w:rStyle w:val="VerbatimChar"/>
        </w:rPr>
        <w:t xml:space="preserve">h1_2.01</w:t>
      </w:r>
      <w:r>
        <w:t xml:space="preserve">.</w:t>
      </w:r>
    </w:p>
    <w:p>
      <w:pPr>
        <w:pStyle w:val="BodyText"/>
      </w:pPr>
      <w:r>
        <w:rPr>
          <w:b/>
          <w:bCs/>
        </w:rPr>
        <w:t xml:space="preserve">73.</w:t>
      </w:r>
      <w:r>
        <w:t xml:space="preserve"> </w:t>
      </w:r>
      <w:r>
        <w:t xml:space="preserve">The direct selectivity comparison is shown in</w:t>
      </w:r>
      <w:r>
        <w:t xml:space="preserve"> </w:t>
      </w:r>
      <w:hyperlink w:anchor="fig-selectivity-sc5-compare">
        <w:r>
          <w:rPr>
            <w:rStyle w:val="Hyperlink"/>
          </w:rPr>
          <w:t xml:space="preserve">Figure 11</w:t>
        </w:r>
      </w:hyperlink>
      <w:r>
        <w:t xml:space="preserve">. As intended, the difference between</w:t>
      </w:r>
      <w:r>
        <w:t xml:space="preserve"> </w:t>
      </w:r>
      <w:r>
        <w:rPr>
          <w:rStyle w:val="VerbatimChar"/>
        </w:rPr>
        <w:t xml:space="preserve">h1_2.01.1</w:t>
      </w:r>
      <w:r>
        <w:t xml:space="preserve"> </w:t>
      </w:r>
      <w:r>
        <w:t xml:space="preserve">and</w:t>
      </w:r>
      <w:r>
        <w:t xml:space="preserve"> </w:t>
      </w:r>
      <w:r>
        <w:rPr>
          <w:rStyle w:val="VerbatimChar"/>
        </w:rPr>
        <w:t xml:space="preserve">h1_2.01.2</w:t>
      </w:r>
      <w:r>
        <w:t xml:space="preserve"> </w:t>
      </w:r>
      <w:r>
        <w:t xml:space="preserve">is confined to the South-Central Chile fishery, where the annual pattern is replaced by the five broader periods. However, the likelihood comparison in</w:t>
      </w:r>
      <w:r>
        <w:t xml:space="preserve"> </w:t>
      </w:r>
      <w:hyperlink w:anchor="tbl-selectivity-sc5-like-components">
        <w:r>
          <w:rPr>
            <w:rStyle w:val="Hyperlink"/>
          </w:rPr>
          <w:t xml:space="preserve">Table 5</w:t>
        </w:r>
      </w:hyperlink>
      <w:r>
        <w:t xml:space="preserve"> </w:t>
      </w:r>
      <w:r>
        <w:t xml:space="preserve">shows that this coarser representation gives back much of the fit recovered by</w:t>
      </w:r>
      <w:r>
        <w:t xml:space="preserve"> </w:t>
      </w:r>
      <w:r>
        <w:rPr>
          <w:rStyle w:val="VerbatimChar"/>
        </w:rPr>
        <w:t xml:space="preserve">h1_2.01.1</w:t>
      </w:r>
      <w:r>
        <w:t xml:space="preserve">: the total negative log likelihood rises from</w:t>
      </w:r>
      <w:r>
        <w:t xml:space="preserve"> </w:t>
      </w:r>
      <w:r>
        <w:rPr>
          <w:rStyle w:val="VerbatimChar"/>
        </w:rPr>
        <w:t xml:space="preserve">1364.8</w:t>
      </w:r>
      <w:r>
        <w:t xml:space="preserve"> </w:t>
      </w:r>
      <w:r>
        <w:t xml:space="preserve">to</w:t>
      </w:r>
      <w:r>
        <w:t xml:space="preserve"> </w:t>
      </w:r>
      <w:r>
        <w:rPr>
          <w:rStyle w:val="VerbatimChar"/>
        </w:rPr>
        <w:t xml:space="preserve">1518.5</w:t>
      </w:r>
      <w:r>
        <w:t xml:space="preserve">, the South-Central Chile fishery age-composition term rises from</w:t>
      </w:r>
      <w:r>
        <w:t xml:space="preserve"> </w:t>
      </w:r>
      <w:r>
        <w:rPr>
          <w:rStyle w:val="VerbatimChar"/>
        </w:rPr>
        <w:t xml:space="preserve">139.2</w:t>
      </w:r>
      <w:r>
        <w:t xml:space="preserve"> </w:t>
      </w:r>
      <w:r>
        <w:t xml:space="preserve">to</w:t>
      </w:r>
      <w:r>
        <w:t xml:space="preserve"> </w:t>
      </w:r>
      <w:r>
        <w:rPr>
          <w:rStyle w:val="VerbatimChar"/>
        </w:rPr>
        <w:t xml:space="preserve">285.4</w:t>
      </w:r>
      <w:r>
        <w:t xml:space="preserve">, and the retained-index total worsens from</w:t>
      </w:r>
      <w:r>
        <w:t xml:space="preserve"> </w:t>
      </w:r>
      <w:r>
        <w:rPr>
          <w:rStyle w:val="VerbatimChar"/>
        </w:rPr>
        <w:t xml:space="preserve">185.9</w:t>
      </w:r>
      <w:r>
        <w:t xml:space="preserve"> </w:t>
      </w:r>
      <w:r>
        <w:t xml:space="preserve">to</w:t>
      </w:r>
      <w:r>
        <w:t xml:space="preserve"> </w:t>
      </w:r>
      <w:r>
        <w:rPr>
          <w:rStyle w:val="VerbatimChar"/>
        </w:rPr>
        <w:t xml:space="preserve">239.6</w:t>
      </w:r>
      <w:r>
        <w:t xml:space="preserve">. Parameter count falls from</w:t>
      </w:r>
      <w:r>
        <w:t xml:space="preserve"> </w:t>
      </w:r>
      <w:r>
        <w:rPr>
          <w:rStyle w:val="VerbatimChar"/>
        </w:rPr>
        <w:t xml:space="preserve">870</w:t>
      </w:r>
      <w:r>
        <w:t xml:space="preserve"> </w:t>
      </w:r>
      <w:r>
        <w:t xml:space="preserve">to</w:t>
      </w:r>
      <w:r>
        <w:t xml:space="preserve"> </w:t>
      </w:r>
      <w:r>
        <w:rPr>
          <w:rStyle w:val="VerbatimChar"/>
        </w:rPr>
        <w:t xml:space="preserve">490</w:t>
      </w:r>
      <w:r>
        <w:t xml:space="preserve">, only slightly above the original</w:t>
      </w:r>
      <w:r>
        <w:t xml:space="preserve"> </w:t>
      </w:r>
      <w:r>
        <w:rPr>
          <w:rStyle w:val="VerbatimChar"/>
        </w:rPr>
        <w:t xml:space="preserve">h1_2.01</w:t>
      </w:r>
      <w:r>
        <w:t xml:space="preserve"> </w:t>
      </w:r>
      <w:r>
        <w:t xml:space="preserve">value of</w:t>
      </w:r>
      <w:r>
        <w:t xml:space="preserve"> </w:t>
      </w:r>
      <w:r>
        <w:rPr>
          <w:rStyle w:val="VerbatimChar"/>
        </w:rPr>
        <w:t xml:space="preserve">480</w:t>
      </w:r>
      <w:r>
        <w:t xml:space="preserve">. This indicates that, for the current data, the proposed five-block S-C Chile structure is still too restrictive to reproduce the main benefits of the annual S-C Chile treatment. A simpler follow-up worth testing later would be the suggested four-block alternative with breaks at 1985, 1998, and 2014.</w:t>
      </w:r>
    </w:p>
    <w:tbl>
      <w:tblPr>
        <w:tblStyle w:val="Table"/>
        <w:tblW w:type="pct" w:w="5000"/>
        <w:tblLayout w:type="fixed"/>
        <w:tblLook w:firstRow="0" w:lastRow="0" w:firstColumn="0" w:lastColumn="0" w:noHBand="0" w:noVBand="0" w:val="0000"/>
      </w:tblPr>
      <w:tblGrid>
        <w:gridCol w:w="7920"/>
      </w:tblGrid>
      <w:tr>
        <w:tc>
          <w:tcPr/>
          <w:bookmarkStart w:id="87" w:name="fig-selectivity-sc5-index-fits"/>
          <w:p>
            <w:pPr>
              <w:pStyle w:val="Compact"/>
              <w:jc w:val="center"/>
            </w:pPr>
            <w:r>
              <w:drawing>
                <wp:inline>
                  <wp:extent cx="5334000" cy="4333875"/>
                  <wp:effectExtent b="0" l="0" r="0" t="0"/>
                  <wp:docPr descr="" title="" id="85" name="Picture"/>
                  <a:graphic>
                    <a:graphicData uri="http://schemas.openxmlformats.org/drawingml/2006/picture">
                      <pic:pic>
                        <pic:nvPicPr>
                          <pic:cNvPr descr="SCW16-Paper-01_files/figure-docx/fig-selectivity-sc5-index-fits-1.png" id="86" name="Picture"/>
                          <pic:cNvPicPr>
                            <a:picLocks noChangeArrowheads="1" noChangeAspect="1"/>
                          </pic:cNvPicPr>
                        </pic:nvPicPr>
                        <pic:blipFill>
                          <a:blip r:embed="rId84"/>
                          <a:stretch>
                            <a:fillRect/>
                          </a:stretch>
                        </pic:blipFill>
                        <pic:spPr bwMode="auto">
                          <a:xfrm>
                            <a:off x="0" y="0"/>
                            <a:ext cx="5334000" cy="4333875"/>
                          </a:xfrm>
                          <a:prstGeom prst="rect">
                            <a:avLst/>
                          </a:prstGeom>
                          <a:noFill/>
                          <a:ln w="9525">
                            <a:noFill/>
                            <a:headEnd/>
                            <a:tailEnd/>
                          </a:ln>
                        </pic:spPr>
                      </pic:pic>
                    </a:graphicData>
                  </a:graphic>
                </wp:inline>
              </w:drawing>
            </w:r>
          </w:p>
          <w:p>
            <w:pPr>
              <w:jc w:val="center"/>
            </w:pPr>
            <w:pPr>
              <w:jc w:val="left"/>
              <w:spacing w:before="200"/>
              <w:pStyle w:val="ImageCaption"/>
            </w:pPr>
            <w:r>
              <w:t xml:space="preserve">Figure 9: Observed and fitted index trajectories for</w:t>
            </w:r>
            <w:r>
              <w:t xml:space="preserve"> </w:t>
            </w:r>
            <w:r>
              <w:rPr>
                <w:rStyle w:val="VerbatimChar"/>
              </w:rPr>
              <w:t xml:space="preserve">h1_2.01</w:t>
            </w:r>
            <w:r>
              <w:t xml:space="preserve">,</w:t>
            </w:r>
            <w:r>
              <w:t xml:space="preserve"> </w:t>
            </w:r>
            <w:r>
              <w:rPr>
                <w:rStyle w:val="VerbatimChar"/>
              </w:rPr>
              <w:t xml:space="preserve">h1_2.01.1</w:t>
            </w:r>
            <w:r>
              <w:t xml:space="preserve">,</w:t>
            </w:r>
            <w:r>
              <w:t xml:space="preserve"> </w:t>
            </w:r>
            <w:r>
              <w:rPr>
                <w:rStyle w:val="VerbatimChar"/>
              </w:rPr>
              <w:t xml:space="preserve">h1_2.01.2</w:t>
            </w:r>
            <w:r>
              <w:t xml:space="preserve">, and</w:t>
            </w:r>
            <w:r>
              <w:t xml:space="preserve"> </w:t>
            </w:r>
            <w:r>
              <w:rPr>
                <w:rStyle w:val="VerbatimChar"/>
              </w:rPr>
              <w:t xml:space="preserve">h1_2.01.3</w:t>
            </w:r>
            <w:r>
              <w:t xml:space="preserve">. Panels show the retained comparable index series: South-Central Chile CPUE, Acoustic North, Peruvian CPUE, and Offshore CPUE.</w:t>
            </w:r>
          </w:p>
          <w:bookmarkEnd w:id="87"/>
        </w:tc>
      </w:tr>
    </w:tbl>
    <w:p>
      <w:pPr>
        <w:pStyle w:val="BodyText"/>
      </w:pPr>
      <w:r>
        <w:rPr>
          <w:b/>
          <w:bCs/>
        </w:rPr>
        <w:t xml:space="preserve">74.</w:t>
      </w:r>
      <w:r>
        <w:t xml:space="preserve"> </w:t>
      </w:r>
      <w:r>
        <w:t xml:space="preserve">The more detailed fit comparison, now including the q-random-walk variant, is shown in</w:t>
      </w:r>
      <w:r>
        <w:t xml:space="preserve"> </w:t>
      </w:r>
      <w:hyperlink w:anchor="tbl-selectivity-sc5-like-components">
        <w:r>
          <w:rPr>
            <w:rStyle w:val="Hyperlink"/>
          </w:rPr>
          <w:t xml:space="preserve">Table 5</w:t>
        </w:r>
      </w:hyperlink>
      <w:r>
        <w:t xml:space="preserve">. Relative to</w:t>
      </w:r>
      <w:r>
        <w:t xml:space="preserve"> </w:t>
      </w:r>
      <w:r>
        <w:rPr>
          <w:rStyle w:val="VerbatimChar"/>
        </w:rPr>
        <w:t xml:space="preserve">h1_2.01</w:t>
      </w:r>
      <w:r>
        <w:t xml:space="preserve">, the annual-S-C variant</w:t>
      </w:r>
      <w:r>
        <w:t xml:space="preserve"> </w:t>
      </w:r>
      <w:r>
        <w:rPr>
          <w:rStyle w:val="VerbatimChar"/>
        </w:rPr>
        <w:t xml:space="preserve">h1_2.01.1</w:t>
      </w:r>
      <w:r>
        <w:t xml:space="preserve"> </w:t>
      </w:r>
      <w:r>
        <w:t xml:space="preserve">recovers a large part of the lost fit, while the five-block version</w:t>
      </w:r>
      <w:r>
        <w:t xml:space="preserve"> </w:t>
      </w:r>
      <w:r>
        <w:rPr>
          <w:rStyle w:val="VerbatimChar"/>
        </w:rPr>
        <w:t xml:space="preserve">h1_2.01.2</w:t>
      </w:r>
      <w:r>
        <w:t xml:space="preserve"> </w:t>
      </w:r>
      <w:r>
        <w:t xml:space="preserve">gives much of that improvement back. The q-random-walk version</w:t>
      </w:r>
      <w:r>
        <w:t xml:space="preserve"> </w:t>
      </w:r>
      <w:r>
        <w:rPr>
          <w:rStyle w:val="VerbatimChar"/>
        </w:rPr>
        <w:t xml:space="preserve">h1_2.01.3</w:t>
      </w:r>
      <w:r>
        <w:t xml:space="preserve"> </w:t>
      </w:r>
      <w:r>
        <w:t xml:space="preserve">lowers the retained comparable index contribution further to about</w:t>
      </w:r>
      <w:r>
        <w:t xml:space="preserve"> </w:t>
      </w:r>
      <w:r>
        <w:rPr>
          <w:rStyle w:val="VerbatimChar"/>
        </w:rPr>
        <w:t xml:space="preserve">163.9</w:t>
      </w:r>
      <w:r>
        <w:t xml:space="preserve">, compared with about</w:t>
      </w:r>
      <w:r>
        <w:t xml:space="preserve"> </w:t>
      </w:r>
      <w:r>
        <w:rPr>
          <w:rStyle w:val="VerbatimChar"/>
        </w:rPr>
        <w:t xml:space="preserve">258.0</w:t>
      </w:r>
      <w:r>
        <w:t xml:space="preserve"> </w:t>
      </w:r>
      <w:r>
        <w:t xml:space="preserve">for</w:t>
      </w:r>
      <w:r>
        <w:t xml:space="preserve"> </w:t>
      </w:r>
      <w:r>
        <w:rPr>
          <w:rStyle w:val="VerbatimChar"/>
        </w:rPr>
        <w:t xml:space="preserve">h1_2.01</w:t>
      </w:r>
      <w:r>
        <w:t xml:space="preserve">,</w:t>
      </w:r>
      <w:r>
        <w:t xml:space="preserve"> </w:t>
      </w:r>
      <w:r>
        <w:rPr>
          <w:rStyle w:val="VerbatimChar"/>
        </w:rPr>
        <w:t xml:space="preserve">185.9</w:t>
      </w:r>
      <w:r>
        <w:t xml:space="preserve"> </w:t>
      </w:r>
      <w:r>
        <w:t xml:space="preserve">for</w:t>
      </w:r>
      <w:r>
        <w:t xml:space="preserve"> </w:t>
      </w:r>
      <w:r>
        <w:rPr>
          <w:rStyle w:val="VerbatimChar"/>
        </w:rPr>
        <w:t xml:space="preserve">h1_2.01.1</w:t>
      </w:r>
      <w:r>
        <w:t xml:space="preserve">, and</w:t>
      </w:r>
      <w:r>
        <w:t xml:space="preserve"> </w:t>
      </w:r>
      <w:r>
        <w:rPr>
          <w:rStyle w:val="VerbatimChar"/>
        </w:rPr>
        <w:t xml:space="preserve">239.6</w:t>
      </w:r>
      <w:r>
        <w:t xml:space="preserve"> </w:t>
      </w:r>
      <w:r>
        <w:t xml:space="preserve">for</w:t>
      </w:r>
      <w:r>
        <w:t xml:space="preserve"> </w:t>
      </w:r>
      <w:r>
        <w:rPr>
          <w:rStyle w:val="VerbatimChar"/>
        </w:rPr>
        <w:t xml:space="preserve">h1_2.01.2</w:t>
      </w:r>
      <w:r>
        <w:t xml:space="preserve">, although it does so by shifting additional flexibility into time-varying catchability rather than selectivity. The same contrast appears in terminal-year spawning biomass uncertainty: the 2026 SSB interval is about</w:t>
      </w:r>
      <w:r>
        <w:t xml:space="preserve"> </w:t>
      </w:r>
      <w:r>
        <w:rPr>
          <w:rStyle w:val="VerbatimChar"/>
        </w:rPr>
        <w:t xml:space="preserve">15.1-26.1</w:t>
      </w:r>
      <w:r>
        <w:t xml:space="preserve"> </w:t>
      </w:r>
      <w:r>
        <w:t xml:space="preserve">kt for</w:t>
      </w:r>
      <w:r>
        <w:t xml:space="preserve"> </w:t>
      </w:r>
      <w:r>
        <w:rPr>
          <w:rStyle w:val="VerbatimChar"/>
        </w:rPr>
        <w:t xml:space="preserve">h1_2.01</w:t>
      </w:r>
      <w:r>
        <w:t xml:space="preserve">, narrows slightly to</w:t>
      </w:r>
      <w:r>
        <w:t xml:space="preserve"> </w:t>
      </w:r>
      <w:r>
        <w:rPr>
          <w:rStyle w:val="VerbatimChar"/>
        </w:rPr>
        <w:t xml:space="preserve">14.0-23.6</w:t>
      </w:r>
      <w:r>
        <w:t xml:space="preserve"> </w:t>
      </w:r>
      <w:r>
        <w:t xml:space="preserve">kt for</w:t>
      </w:r>
      <w:r>
        <w:t xml:space="preserve"> </w:t>
      </w:r>
      <w:r>
        <w:rPr>
          <w:rStyle w:val="VerbatimChar"/>
        </w:rPr>
        <w:t xml:space="preserve">h1_2.01.1</w:t>
      </w:r>
      <w:r>
        <w:t xml:space="preserve">, widens substantially to</w:t>
      </w:r>
      <w:r>
        <w:t xml:space="preserve"> </w:t>
      </w:r>
      <w:r>
        <w:rPr>
          <w:rStyle w:val="VerbatimChar"/>
        </w:rPr>
        <w:t xml:space="preserve">16.7-33.7</w:t>
      </w:r>
      <w:r>
        <w:t xml:space="preserve"> </w:t>
      </w:r>
      <w:r>
        <w:t xml:space="preserve">kt for</w:t>
      </w:r>
      <w:r>
        <w:t xml:space="preserve"> </w:t>
      </w:r>
      <w:r>
        <w:rPr>
          <w:rStyle w:val="VerbatimChar"/>
        </w:rPr>
        <w:t xml:space="preserve">h1_2.01.2</w:t>
      </w:r>
      <w:r>
        <w:t xml:space="preserve">, and shifts downward but remains broad at</w:t>
      </w:r>
      <w:r>
        <w:t xml:space="preserve"> </w:t>
      </w:r>
      <w:r>
        <w:rPr>
          <w:rStyle w:val="VerbatimChar"/>
        </w:rPr>
        <w:t xml:space="preserve">11.5-23.0</w:t>
      </w:r>
      <w:r>
        <w:t xml:space="preserve"> </w:t>
      </w:r>
      <w:r>
        <w:t xml:space="preserve">kt for</w:t>
      </w:r>
      <w:r>
        <w:t xml:space="preserve"> </w:t>
      </w:r>
      <w:r>
        <w:rPr>
          <w:rStyle w:val="VerbatimChar"/>
        </w:rPr>
        <w:t xml:space="preserve">h1_2.01.3</w:t>
      </w:r>
      <w:r>
        <w:t xml:space="preserve">. The resulting retained comparable index fits are shown in</w:t>
      </w:r>
      <w:r>
        <w:t xml:space="preserve"> </w:t>
      </w:r>
      <w:hyperlink w:anchor="fig-selectivity-sc5-index-fits">
        <w:r>
          <w:rPr>
            <w:rStyle w:val="Hyperlink"/>
          </w:rPr>
          <w:t xml:space="preserve">Figure 9</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88" w:name="tbl-selectivity-sc5-like-components"/>
          <w:p>
            <w:pPr>
              <w:jc w:val="center"/>
            </w:pPr>
            <w:pPr>
              <w:jc w:val="left"/>
              <w:spacing w:before="200"/>
              <w:pStyle w:val="ImageCaption"/>
            </w:pPr>
            <w:r>
              <w:t xml:space="preserve">Table 5: Negative-log-likelihood components and estimated parameter counts for the original fishery-block model (</w:t>
            </w:r>
            <w:r>
              <w:rPr>
                <w:rStyle w:val="VerbatimChar"/>
              </w:rPr>
              <w:t xml:space="preserve">h1_2.01</w:t>
            </w:r>
            <w:r>
              <w:t xml:space="preserve">), the annual S-C Chile variant (</w:t>
            </w:r>
            <w:r>
              <w:rPr>
                <w:rStyle w:val="VerbatimChar"/>
              </w:rPr>
              <w:t xml:space="preserve">h1_2.01.1</w:t>
            </w:r>
            <w:r>
              <w:t xml:space="preserve">), the five-block S-C Chile variant (</w:t>
            </w:r>
            <w:r>
              <w:rPr>
                <w:rStyle w:val="VerbatimChar"/>
              </w:rPr>
              <w:t xml:space="preserve">h1_2.01.2</w:t>
            </w:r>
            <w:r>
              <w:t xml:space="preserve">), and the q-random-walk variant (</w:t>
            </w:r>
            <w:r>
              <w:rPr>
                <w:rStyle w:val="VerbatimChar"/>
              </w:rPr>
              <w:t xml:space="preserve">h1_2.01.3</w:t>
            </w:r>
            <w:r>
              <w:t xml:space="preserve">). The aggregate and component index rows include only the retained comparable series: Acoustic North, Chile CPUE, Peru CPUE, and Offshore CPUE.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Component</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h1_2.01</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h1_2.01.1</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h1_2.01.2</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h1_2.01.3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Catch likelihood</w:t>
                  </w:r>
                </w:p>
              </w:tc>
              <w:tc>
                <w:tcPr>
                  <w:tcBorders>
                    <w:top w:val="single" w:space="0" w:color="D3D3D3"/>
                    <w:bottom w:val="single" w:space="0" w:color="D3D3D3"/>
                    <w:start w:val="single" w:space="0" w:color="D3D3D3"/>
                    <w:end w:val="single" w:space="0" w:color="D3D3D3"/>
                  </w:tcBorders>
                  <w:shd w:val="clear" w:color="auto" w:fill="FDD0BE"/>
                </w:tcPr>
                <w:p>
                  <w:pPr>
                    <w:spacing w:before="0" w:after="60"/>
                    <w:keepNext/>
                    <w:jc w:val="end"/>
                  </w:pPr>
                  <w:r>
                    <w:rPr>
                      <w:rFonts w:ascii="Calibri" w:hAnsi="Calibri"/>
                      <w:sz w:val="20"/>
                    </w:rPr>
                    <w:t xml:space="default">0.8</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1.1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0.6</w:t>
                  </w:r>
                </w:p>
              </w:tc>
              <w:tc>
                <w:tcPr>
                  <w:tcBorders>
                    <w:top w:val="single" w:space="0" w:color="D3D3D3"/>
                    <w:bottom w:val="single" w:space="0" w:color="D3D3D3"/>
                    <w:start w:val="single" w:space="0" w:color="D3D3D3"/>
                    <w:end w:val="single" w:space="0" w:color="D3D3D3"/>
                  </w:tcBorders>
                  <w:shd w:val="clear" w:color="auto" w:fill="FCB195"/>
                </w:tcPr>
                <w:p>
                  <w:pPr>
                    <w:spacing w:before="0" w:after="60"/>
                    <w:keepNext/>
                    <w:jc w:val="end"/>
                  </w:pPr>
                  <w:r>
                    <w:rPr>
                      <w:rFonts w:ascii="Calibri" w:hAnsi="Calibri"/>
                      <w:sz w:val="20"/>
                    </w:rPr>
                    <w:t xml:space="default">0.6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Fishery age compositions</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549.8</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374.8</w:t>
                  </w:r>
                </w:p>
              </w:tc>
              <w:tc>
                <w:tcPr>
                  <w:tcBorders>
                    <w:top w:val="single" w:space="0" w:color="D3D3D3"/>
                    <w:bottom w:val="single" w:space="0" w:color="D3D3D3"/>
                    <w:start w:val="single" w:space="0" w:color="D3D3D3"/>
                    <w:end w:val="single" w:space="0" w:color="D3D3D3"/>
                  </w:tcBorders>
                  <w:shd w:val="clear" w:color="auto" w:fill="FFECE4"/>
                </w:tcPr>
                <w:p>
                  <w:pPr>
                    <w:spacing w:before="0" w:after="60"/>
                    <w:keepNext/>
                    <w:jc w:val="end"/>
                  </w:pPr>
                  <w:r>
                    <w:rPr>
                      <w:rFonts w:ascii="Calibri" w:hAnsi="Calibri"/>
                      <w:sz w:val="20"/>
                    </w:rPr>
                    <w:t xml:space="default">528.4</w:t>
                  </w:r>
                </w:p>
              </w:tc>
              <w:tc>
                <w:tcPr>
                  <w:tcBorders>
                    <w:top w:val="single" w:space="0" w:color="D3D3D3"/>
                    <w:bottom w:val="single" w:space="0" w:color="D3D3D3"/>
                    <w:start w:val="single" w:space="0" w:color="D3D3D3"/>
                    <w:end w:val="single" w:space="0" w:color="D3D3D3"/>
                  </w:tcBorders>
                  <w:shd w:val="clear" w:color="auto" w:fill="FFEAE1"/>
                </w:tcPr>
                <w:p>
                  <w:pPr>
                    <w:spacing w:before="0" w:after="60"/>
                    <w:keepNext/>
                    <w:jc w:val="end"/>
                  </w:pPr>
                  <w:r>
                    <w:rPr>
                      <w:rFonts w:ascii="Calibri" w:hAnsi="Calibri"/>
                      <w:sz w:val="20"/>
                    </w:rPr>
                    <w:t xml:space="default">521.9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North Chile fishery age comps</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202.8</w:t>
                  </w:r>
                </w:p>
              </w:tc>
              <w:tc>
                <w:tcPr>
                  <w:tcBorders>
                    <w:top w:val="single" w:space="0" w:color="D3D3D3"/>
                    <w:bottom w:val="single" w:space="0" w:color="D3D3D3"/>
                    <w:start w:val="single" w:space="0" w:color="D3D3D3"/>
                    <w:end w:val="single" w:space="0" w:color="D3D3D3"/>
                  </w:tcBorders>
                  <w:shd w:val="clear" w:color="auto" w:fill="FDCCB9"/>
                </w:tcPr>
                <w:p>
                  <w:pPr>
                    <w:spacing w:before="0" w:after="60"/>
                    <w:keepNext/>
                    <w:jc w:val="end"/>
                  </w:pPr>
                  <w:r>
                    <w:rPr>
                      <w:rFonts w:ascii="Calibri" w:hAnsi="Calibri"/>
                      <w:sz w:val="20"/>
                    </w:rPr>
                    <w:t xml:space="default">199.0</w:t>
                  </w:r>
                </w:p>
              </w:tc>
              <w:tc>
                <w:tcPr>
                  <w:tcBorders>
                    <w:top w:val="single" w:space="0" w:color="D3D3D3"/>
                    <w:bottom w:val="single" w:space="0" w:color="D3D3D3"/>
                    <w:start w:val="single" w:space="0" w:color="D3D3D3"/>
                    <w:end w:val="single" w:space="0" w:color="D3D3D3"/>
                  </w:tcBorders>
                  <w:shd w:val="clear" w:color="auto" w:fill="FFF4EF"/>
                </w:tcPr>
                <w:p>
                  <w:pPr>
                    <w:spacing w:before="0" w:after="60"/>
                    <w:keepNext/>
                    <w:jc w:val="end"/>
                  </w:pPr>
                  <w:r>
                    <w:rPr>
                      <w:rFonts w:ascii="Calibri" w:hAnsi="Calibri"/>
                      <w:sz w:val="20"/>
                    </w:rPr>
                    <w:t xml:space="default">202.7</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196.4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S-C Chile fishery age comps</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307.3</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139.2</w:t>
                  </w:r>
                </w:p>
              </w:tc>
              <w:tc>
                <w:tcPr>
                  <w:tcBorders>
                    <w:top w:val="single" w:space="0" w:color="D3D3D3"/>
                    <w:bottom w:val="single" w:space="0" w:color="D3D3D3"/>
                    <w:start w:val="single" w:space="0" w:color="D3D3D3"/>
                    <w:end w:val="single" w:space="0" w:color="D3D3D3"/>
                  </w:tcBorders>
                  <w:shd w:val="clear" w:color="auto" w:fill="FFECE4"/>
                </w:tcPr>
                <w:p>
                  <w:pPr>
                    <w:spacing w:before="0" w:after="60"/>
                    <w:keepNext/>
                    <w:jc w:val="end"/>
                  </w:pPr>
                  <w:r>
                    <w:rPr>
                      <w:rFonts w:ascii="Calibri" w:hAnsi="Calibri"/>
                      <w:sz w:val="20"/>
                    </w:rPr>
                    <w:t xml:space="default">285.4</w:t>
                  </w:r>
                </w:p>
              </w:tc>
              <w:tc>
                <w:tcPr>
                  <w:tcBorders>
                    <w:top w:val="single" w:space="0" w:color="D3D3D3"/>
                    <w:bottom w:val="single" w:space="0" w:color="D3D3D3"/>
                    <w:start w:val="single" w:space="0" w:color="D3D3D3"/>
                    <w:end w:val="single" w:space="0" w:color="D3D3D3"/>
                  </w:tcBorders>
                  <w:shd w:val="clear" w:color="auto" w:fill="FFEDE6"/>
                </w:tcPr>
                <w:p>
                  <w:pPr>
                    <w:spacing w:before="0" w:after="60"/>
                    <w:keepNext/>
                    <w:jc w:val="end"/>
                  </w:pPr>
                  <w:r>
                    <w:rPr>
                      <w:rFonts w:ascii="Calibri" w:hAnsi="Calibri"/>
                      <w:sz w:val="20"/>
                    </w:rPr>
                    <w:t xml:space="default">289.2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Offshore trawl fishery age comps</w:t>
                  </w:r>
                </w:p>
              </w:tc>
              <w:tc>
                <w:tcPr>
                  <w:tcBorders>
                    <w:top w:val="single" w:space="0" w:color="D3D3D3"/>
                    <w:bottom w:val="single" w:space="0" w:color="D3D3D3"/>
                    <w:start w:val="single" w:space="0" w:color="D3D3D3"/>
                    <w:end w:val="single" w:space="0" w:color="D3D3D3"/>
                  </w:tcBorders>
                  <w:shd w:val="clear" w:color="auto" w:fill="FFEBE2"/>
                </w:tcPr>
                <w:p>
                  <w:pPr>
                    <w:spacing w:before="0" w:after="60"/>
                    <w:keepNext/>
                    <w:jc w:val="end"/>
                  </w:pPr>
                  <w:r>
                    <w:rPr>
                      <w:rFonts w:ascii="Calibri" w:hAnsi="Calibri"/>
                      <w:sz w:val="20"/>
                    </w:rPr>
                    <w:t xml:space="default">39.7</w:t>
                  </w:r>
                </w:p>
              </w:tc>
              <w:tc>
                <w:tcPr>
                  <w:tcBorders>
                    <w:top w:val="single" w:space="0" w:color="D3D3D3"/>
                    <w:bottom w:val="single" w:space="0" w:color="D3D3D3"/>
                    <w:start w:val="single" w:space="0" w:color="D3D3D3"/>
                    <w:end w:val="single" w:space="0" w:color="D3D3D3"/>
                  </w:tcBorders>
                  <w:shd w:val="clear" w:color="auto" w:fill="FCB296"/>
                </w:tcPr>
                <w:p>
                  <w:pPr>
                    <w:spacing w:before="0" w:after="60"/>
                    <w:keepNext/>
                    <w:jc w:val="end"/>
                  </w:pPr>
                  <w:r>
                    <w:rPr>
                      <w:rFonts w:ascii="Calibri" w:hAnsi="Calibri"/>
                      <w:sz w:val="20"/>
                    </w:rPr>
                    <w:t xml:space="default">36.5</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40.3</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36.3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Fishery length compositions</w:t>
                  </w:r>
                </w:p>
              </w:tc>
              <w:tc>
                <w:tcPr>
                  <w:tcBorders>
                    <w:top w:val="single" w:space="0" w:color="D3D3D3"/>
                    <w:bottom w:val="single" w:space="0" w:color="D3D3D3"/>
                    <w:start w:val="single" w:space="0" w:color="D3D3D3"/>
                    <w:end w:val="single" w:space="0" w:color="D3D3D3"/>
                  </w:tcBorders>
                  <w:shd w:val="clear" w:color="auto" w:fill="FEE5DB"/>
                </w:tcPr>
                <w:p>
                  <w:pPr>
                    <w:spacing w:before="0" w:after="60"/>
                    <w:keepNext/>
                    <w:jc w:val="end"/>
                  </w:pPr>
                  <w:r>
                    <w:rPr>
                      <w:rFonts w:ascii="Calibri" w:hAnsi="Calibri"/>
                      <w:sz w:val="20"/>
                    </w:rPr>
                    <w:t xml:space="default">581.9</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567.0</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586.2</w:t>
                  </w:r>
                </w:p>
              </w:tc>
              <w:tc>
                <w:tcPr>
                  <w:tcBorders>
                    <w:top w:val="single" w:space="0" w:color="D3D3D3"/>
                    <w:bottom w:val="single" w:space="0" w:color="D3D3D3"/>
                    <w:start w:val="single" w:space="0" w:color="D3D3D3"/>
                    <w:end w:val="single" w:space="0" w:color="D3D3D3"/>
                  </w:tcBorders>
                  <w:shd w:val="clear" w:color="auto" w:fill="FDC8B3"/>
                </w:tcPr>
                <w:p>
                  <w:pPr>
                    <w:spacing w:before="0" w:after="60"/>
                    <w:keepNext/>
                    <w:jc w:val="end"/>
                  </w:pPr>
                  <w:r>
                    <w:rPr>
                      <w:rFonts w:ascii="Calibri" w:hAnsi="Calibri"/>
                      <w:sz w:val="20"/>
                    </w:rPr>
                    <w:t xml:space="default">574.0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Fishery selectivity penalties</w:t>
                  </w:r>
                </w:p>
              </w:tc>
              <w:tc>
                <w:tcPr>
                  <w:tcBorders>
                    <w:top w:val="single" w:space="0" w:color="D3D3D3"/>
                    <w:bottom w:val="single" w:space="0" w:color="D3D3D3"/>
                    <w:start w:val="single" w:space="0" w:color="D3D3D3"/>
                    <w:end w:val="single" w:space="0" w:color="D3D3D3"/>
                  </w:tcBorders>
                  <w:shd w:val="clear" w:color="auto" w:fill="FCB69C"/>
                </w:tcPr>
                <w:p>
                  <w:pPr>
                    <w:spacing w:before="0" w:after="60"/>
                    <w:keepNext/>
                    <w:jc w:val="end"/>
                  </w:pPr>
                  <w:r>
                    <w:rPr>
                      <w:rFonts w:ascii="Calibri" w:hAnsi="Calibri"/>
                      <w:sz w:val="20"/>
                    </w:rPr>
                    <w:t xml:space="default">114.4</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196.0</w:t>
                  </w:r>
                </w:p>
              </w:tc>
              <w:tc>
                <w:tcPr>
                  <w:tcBorders>
                    <w:top w:val="single" w:space="0" w:color="D3D3D3"/>
                    <w:bottom w:val="single" w:space="0" w:color="D3D3D3"/>
                    <w:start w:val="single" w:space="0" w:color="D3D3D3"/>
                    <w:end w:val="single" w:space="0" w:color="D3D3D3"/>
                  </w:tcBorders>
                  <w:shd w:val="clear" w:color="auto" w:fill="FDBEA6"/>
                </w:tcPr>
                <w:p>
                  <w:pPr>
                    <w:spacing w:before="0" w:after="60"/>
                    <w:keepNext/>
                    <w:jc w:val="end"/>
                  </w:pPr>
                  <w:r>
                    <w:rPr>
                      <w:rFonts w:ascii="Calibri" w:hAnsi="Calibri"/>
                      <w:sz w:val="20"/>
                    </w:rPr>
                    <w:t xml:space="default">124.5</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103.9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Index likelihood</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258.0</w:t>
                  </w:r>
                </w:p>
              </w:tc>
              <w:tc>
                <w:tcPr>
                  <w:tcBorders>
                    <w:top w:val="single" w:space="0" w:color="D3D3D3"/>
                    <w:bottom w:val="single" w:space="0" w:color="D3D3D3"/>
                    <w:start w:val="single" w:space="0" w:color="D3D3D3"/>
                    <w:end w:val="single" w:space="0" w:color="D3D3D3"/>
                  </w:tcBorders>
                  <w:shd w:val="clear" w:color="auto" w:fill="FDBFA7"/>
                </w:tcPr>
                <w:p>
                  <w:pPr>
                    <w:spacing w:before="0" w:after="60"/>
                    <w:keepNext/>
                    <w:jc w:val="end"/>
                  </w:pPr>
                  <w:r>
                    <w:rPr>
                      <w:rFonts w:ascii="Calibri" w:hAnsi="Calibri"/>
                      <w:sz w:val="20"/>
                    </w:rPr>
                    <w:t xml:space="default">185.9</w:t>
                  </w:r>
                </w:p>
              </w:tc>
              <w:tc>
                <w:tcPr>
                  <w:tcBorders>
                    <w:top w:val="single" w:space="0" w:color="D3D3D3"/>
                    <w:bottom w:val="single" w:space="0" w:color="D3D3D3"/>
                    <w:start w:val="single" w:space="0" w:color="D3D3D3"/>
                    <w:end w:val="single" w:space="0" w:color="D3D3D3"/>
                  </w:tcBorders>
                  <w:shd w:val="clear" w:color="auto" w:fill="FEE7DD"/>
                </w:tcPr>
                <w:p>
                  <w:pPr>
                    <w:spacing w:before="0" w:after="60"/>
                    <w:keepNext/>
                    <w:jc w:val="end"/>
                  </w:pPr>
                  <w:r>
                    <w:rPr>
                      <w:rFonts w:ascii="Calibri" w:hAnsi="Calibri"/>
                      <w:sz w:val="20"/>
                    </w:rPr>
                    <w:t xml:space="default">239.6</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163.9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Chile acoustic North index</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87.7</w:t>
                  </w:r>
                </w:p>
              </w:tc>
              <w:tc>
                <w:tcPr>
                  <w:tcBorders>
                    <w:top w:val="single" w:space="0" w:color="D3D3D3"/>
                    <w:bottom w:val="single" w:space="0" w:color="D3D3D3"/>
                    <w:start w:val="single" w:space="0" w:color="D3D3D3"/>
                    <w:end w:val="single" w:space="0" w:color="D3D3D3"/>
                  </w:tcBorders>
                  <w:shd w:val="clear" w:color="auto" w:fill="FDCCB9"/>
                </w:tcPr>
                <w:p>
                  <w:pPr>
                    <w:spacing w:before="0" w:after="60"/>
                    <w:keepNext/>
                    <w:jc w:val="end"/>
                  </w:pPr>
                  <w:r>
                    <w:rPr>
                      <w:rFonts w:ascii="Calibri" w:hAnsi="Calibri"/>
                      <w:sz w:val="20"/>
                    </w:rPr>
                    <w:t xml:space="default">77.0</w:t>
                  </w:r>
                </w:p>
              </w:tc>
              <w:tc>
                <w:tcPr>
                  <w:tcBorders>
                    <w:top w:val="single" w:space="0" w:color="D3D3D3"/>
                    <w:bottom w:val="single" w:space="0" w:color="D3D3D3"/>
                    <w:start w:val="single" w:space="0" w:color="D3D3D3"/>
                    <w:end w:val="single" w:space="0" w:color="D3D3D3"/>
                  </w:tcBorders>
                  <w:shd w:val="clear" w:color="auto" w:fill="FFEDE6"/>
                </w:tcPr>
                <w:p>
                  <w:pPr>
                    <w:spacing w:before="0" w:after="60"/>
                    <w:keepNext/>
                    <w:jc w:val="end"/>
                  </w:pPr>
                  <w:r>
                    <w:rPr>
                      <w:rFonts w:ascii="Calibri" w:hAnsi="Calibri"/>
                      <w:sz w:val="20"/>
                    </w:rPr>
                    <w:t xml:space="default">85.8</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69.2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Chile CPUE index</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73.5</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23.3</w:t>
                  </w:r>
                </w:p>
              </w:tc>
              <w:tc>
                <w:tcPr>
                  <w:tcBorders>
                    <w:top w:val="single" w:space="0" w:color="D3D3D3"/>
                    <w:bottom w:val="single" w:space="0" w:color="D3D3D3"/>
                    <w:start w:val="single" w:space="0" w:color="D3D3D3"/>
                    <w:end w:val="single" w:space="0" w:color="D3D3D3"/>
                  </w:tcBorders>
                  <w:shd w:val="clear" w:color="auto" w:fill="FFECE5"/>
                </w:tcPr>
                <w:p>
                  <w:pPr>
                    <w:spacing w:before="0" w:after="60"/>
                    <w:keepNext/>
                    <w:jc w:val="end"/>
                  </w:pPr>
                  <w:r>
                    <w:rPr>
                      <w:rFonts w:ascii="Calibri" w:hAnsi="Calibri"/>
                      <w:sz w:val="20"/>
                    </w:rPr>
                    <w:t xml:space="default">67.5</w:t>
                  </w:r>
                </w:p>
              </w:tc>
              <w:tc>
                <w:tcPr>
                  <w:tcBorders>
                    <w:top w:val="single" w:space="0" w:color="D3D3D3"/>
                    <w:bottom w:val="single" w:space="0" w:color="D3D3D3"/>
                    <w:start w:val="single" w:space="0" w:color="D3D3D3"/>
                    <w:end w:val="single" w:space="0" w:color="D3D3D3"/>
                  </w:tcBorders>
                  <w:shd w:val="clear" w:color="auto" w:fill="FDC3AE"/>
                </w:tcPr>
                <w:p>
                  <w:pPr>
                    <w:spacing w:before="0" w:after="60"/>
                    <w:keepNext/>
                    <w:jc w:val="end"/>
                  </w:pPr>
                  <w:r>
                    <w:rPr>
                      <w:rFonts w:ascii="Calibri" w:hAnsi="Calibri"/>
                      <w:sz w:val="20"/>
                    </w:rPr>
                    <w:t xml:space="default">38.5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Peru CPUE index</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65.3</w:t>
                  </w:r>
                </w:p>
              </w:tc>
              <w:tc>
                <w:tcPr>
                  <w:tcBorders>
                    <w:top w:val="single" w:space="0" w:color="D3D3D3"/>
                    <w:bottom w:val="single" w:space="0" w:color="D3D3D3"/>
                    <w:start w:val="single" w:space="0" w:color="D3D3D3"/>
                    <w:end w:val="single" w:space="0" w:color="D3D3D3"/>
                  </w:tcBorders>
                  <w:shd w:val="clear" w:color="auto" w:fill="FED3C2"/>
                </w:tcPr>
                <w:p>
                  <w:pPr>
                    <w:spacing w:before="0" w:after="60"/>
                    <w:keepNext/>
                    <w:jc w:val="end"/>
                  </w:pPr>
                  <w:r>
                    <w:rPr>
                      <w:rFonts w:ascii="Calibri" w:hAnsi="Calibri"/>
                      <w:sz w:val="20"/>
                    </w:rPr>
                    <w:t xml:space="default">51.3</w:t>
                  </w:r>
                </w:p>
              </w:tc>
              <w:tc>
                <w:tcPr>
                  <w:tcBorders>
                    <w:top w:val="single" w:space="0" w:color="D3D3D3"/>
                    <w:bottom w:val="single" w:space="0" w:color="D3D3D3"/>
                    <w:start w:val="single" w:space="0" w:color="D3D3D3"/>
                    <w:end w:val="single" w:space="0" w:color="D3D3D3"/>
                  </w:tcBorders>
                  <w:shd w:val="clear" w:color="auto" w:fill="FEE9E0"/>
                </w:tcPr>
                <w:p>
                  <w:pPr>
                    <w:spacing w:before="0" w:after="60"/>
                    <w:keepNext/>
                    <w:jc w:val="end"/>
                  </w:pPr>
                  <w:r>
                    <w:rPr>
                      <w:rFonts w:ascii="Calibri" w:hAnsi="Calibri"/>
                      <w:sz w:val="20"/>
                    </w:rPr>
                    <w:t xml:space="default">60.4</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36.3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Offshore CPUE index</w:t>
                  </w:r>
                </w:p>
              </w:tc>
              <w:tc>
                <w:tcPr>
                  <w:tcBorders>
                    <w:top w:val="single" w:space="0" w:color="D3D3D3"/>
                    <w:bottom w:val="single" w:space="0" w:color="D3D3D3"/>
                    <w:start w:val="single" w:space="0" w:color="D3D3D3"/>
                    <w:end w:val="single" w:space="0" w:color="D3D3D3"/>
                  </w:tcBorders>
                  <w:shd w:val="clear" w:color="auto" w:fill="FEE7DD"/>
                </w:tcPr>
                <w:p>
                  <w:pPr>
                    <w:spacing w:before="0" w:after="60"/>
                    <w:keepNext/>
                    <w:jc w:val="end"/>
                  </w:pPr>
                  <w:r>
                    <w:rPr>
                      <w:rFonts w:ascii="Calibri" w:hAnsi="Calibri"/>
                      <w:sz w:val="20"/>
                    </w:rPr>
                    <w:t xml:space="default">31.4</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34.3</w:t>
                  </w:r>
                </w:p>
              </w:tc>
              <w:tc>
                <w:tcPr>
                  <w:tcBorders>
                    <w:top w:val="single" w:space="0" w:color="D3D3D3"/>
                    <w:bottom w:val="single" w:space="0" w:color="D3D3D3"/>
                    <w:start w:val="single" w:space="0" w:color="D3D3D3"/>
                    <w:end w:val="single" w:space="0" w:color="D3D3D3"/>
                  </w:tcBorders>
                  <w:shd w:val="clear" w:color="auto" w:fill="FDCCB9"/>
                </w:tcPr>
                <w:p>
                  <w:pPr>
                    <w:spacing w:before="0" w:after="60"/>
                    <w:keepNext/>
                    <w:jc w:val="end"/>
                  </w:pPr>
                  <w:r>
                    <w:rPr>
                      <w:rFonts w:ascii="Calibri" w:hAnsi="Calibri"/>
                      <w:sz w:val="20"/>
                    </w:rPr>
                    <w:t xml:space="default">26.0</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19.9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Index age compositions</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37.8</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35.8</w:t>
                  </w:r>
                </w:p>
              </w:tc>
              <w:tc>
                <w:tcPr>
                  <w:tcBorders>
                    <w:top w:val="single" w:space="0" w:color="D3D3D3"/>
                    <w:bottom w:val="single" w:space="0" w:color="D3D3D3"/>
                    <w:start w:val="single" w:space="0" w:color="D3D3D3"/>
                    <w:end w:val="single" w:space="0" w:color="D3D3D3"/>
                  </w:tcBorders>
                  <w:shd w:val="clear" w:color="auto" w:fill="FEE7DE"/>
                </w:tcPr>
                <w:p>
                  <w:pPr>
                    <w:spacing w:before="0" w:after="60"/>
                    <w:keepNext/>
                    <w:jc w:val="end"/>
                  </w:pPr>
                  <w:r>
                    <w:rPr>
                      <w:rFonts w:ascii="Calibri" w:hAnsi="Calibri"/>
                      <w:sz w:val="20"/>
                    </w:rPr>
                    <w:t xml:space="default">37.4</w:t>
                  </w:r>
                </w:p>
              </w:tc>
              <w:tc>
                <w:tcPr>
                  <w:tcBorders>
                    <w:top w:val="single" w:space="0" w:color="D3D3D3"/>
                    <w:bottom w:val="single" w:space="0" w:color="D3D3D3"/>
                    <w:start w:val="single" w:space="0" w:color="D3D3D3"/>
                    <w:end w:val="single" w:space="0" w:color="D3D3D3"/>
                  </w:tcBorders>
                  <w:shd w:val="clear" w:color="auto" w:fill="FED4C4"/>
                </w:tcPr>
                <w:p>
                  <w:pPr>
                    <w:spacing w:before="0" w:after="60"/>
                    <w:keepNext/>
                    <w:jc w:val="end"/>
                  </w:pPr>
                  <w:r>
                    <w:rPr>
                      <w:rFonts w:ascii="Calibri" w:hAnsi="Calibri"/>
                      <w:sz w:val="20"/>
                    </w:rPr>
                    <w:t xml:space="default">36.9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Index selectivity penalties</w:t>
                  </w:r>
                </w:p>
              </w:tc>
              <w:tc>
                <w:tcPr>
                  <w:tcBorders>
                    <w:top w:val="single" w:space="0" w:color="D3D3D3"/>
                    <w:bottom w:val="single" w:space="0" w:color="D3D3D3"/>
                    <w:start w:val="single" w:space="0" w:color="D3D3D3"/>
                    <w:end w:val="single" w:space="0" w:color="D3D3D3"/>
                  </w:tcBorders>
                  <w:shd w:val="clear" w:color="auto" w:fill="FDCAB7"/>
                </w:tcPr>
                <w:p>
                  <w:pPr>
                    <w:spacing w:before="0" w:after="60"/>
                    <w:keepNext/>
                    <w:jc w:val="end"/>
                  </w:pPr>
                  <w:r>
                    <w:rPr>
                      <w:rFonts w:ascii="Calibri" w:hAnsi="Calibri"/>
                      <w:sz w:val="20"/>
                    </w:rPr>
                    <w:t xml:space="default">3.9</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5.0</w:t>
                  </w:r>
                </w:p>
              </w:tc>
              <w:tc>
                <w:tcPr>
                  <w:tcBorders>
                    <w:top w:val="single" w:space="0" w:color="D3D3D3"/>
                    <w:bottom w:val="single" w:space="0" w:color="D3D3D3"/>
                    <w:start w:val="single" w:space="0" w:color="D3D3D3"/>
                    <w:end w:val="single" w:space="0" w:color="D3D3D3"/>
                  </w:tcBorders>
                  <w:shd w:val="clear" w:color="auto" w:fill="FFEBE3"/>
                </w:tcPr>
                <w:p>
                  <w:pPr>
                    <w:spacing w:before="0" w:after="60"/>
                    <w:keepNext/>
                    <w:jc w:val="end"/>
                  </w:pPr>
                  <w:r>
                    <w:rPr>
                      <w:rFonts w:ascii="Calibri" w:hAnsi="Calibri"/>
                      <w:sz w:val="20"/>
                    </w:rPr>
                    <w:t xml:space="default">4.7</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3.2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Recruitment term</w:t>
                  </w:r>
                </w:p>
              </w:tc>
              <w:tc>
                <w:tcPr>
                  <w:tcBorders>
                    <w:top w:val="single" w:space="0" w:color="D3D3D3"/>
                    <w:bottom w:val="single" w:space="0" w:color="D3D3D3"/>
                    <w:start w:val="single" w:space="0" w:color="D3D3D3"/>
                    <w:end w:val="single" w:space="0" w:color="D3D3D3"/>
                  </w:tcBorders>
                  <w:shd w:val="clear" w:color="auto" w:fill="FED9CA"/>
                </w:tcPr>
                <w:p>
                  <w:pPr>
                    <w:spacing w:before="0" w:after="60"/>
                    <w:keepNext/>
                    <w:jc w:val="end"/>
                  </w:pPr>
                  <w:r>
                    <w:rPr>
                      <w:rFonts w:ascii="Calibri" w:hAnsi="Calibri"/>
                      <w:sz w:val="20"/>
                    </w:rPr>
                    <w:t xml:space="default">-2.6</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-0.9</w:t>
                  </w:r>
                </w:p>
              </w:tc>
              <w:tc>
                <w:tcPr>
                  <w:tcBorders>
                    <w:top w:val="single" w:space="0" w:color="D3D3D3"/>
                    <w:bottom w:val="single" w:space="0" w:color="D3D3D3"/>
                    <w:start w:val="single" w:space="0" w:color="D3D3D3"/>
                    <w:end w:val="single" w:space="0" w:color="D3D3D3"/>
                  </w:tcBorders>
                  <w:shd w:val="clear" w:color="auto" w:fill="FDD1C0"/>
                </w:tcPr>
                <w:p>
                  <w:pPr>
                    <w:spacing w:before="0" w:after="60"/>
                    <w:keepNext/>
                    <w:jc w:val="end"/>
                  </w:pPr>
                  <w:r>
                    <w:rPr>
                      <w:rFonts w:ascii="Calibri" w:hAnsi="Calibri"/>
                      <w:sz w:val="20"/>
                    </w:rPr>
                    <w:t xml:space="default">-3.1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-5.1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Index q priors</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0.1</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51.5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Residual term</w:t>
                  </w:r>
                </w:p>
              </w:tc>
              <w:tc>
                <w:tcPr>
                  <w:tcBorders>
                    <w:top w:val="single" w:space="0" w:color="D3D3D3"/>
                    <w:bottom w:val="single" w:space="0" w:color="D3D3D3"/>
                    <w:start w:val="single" w:space="0" w:color="D3D3D3"/>
                    <w:end w:val="single" w:space="0" w:color="D3D3D3"/>
                  </w:tcBorders>
                  <w:shd w:val="clear" w:color="auto" w:fill="FDCFBD"/>
                </w:tcPr>
                <w:p>
                  <w:pPr>
                    <w:spacing w:before="0" w:after="60"/>
                    <w:keepNext/>
                    <w:jc w:val="end"/>
                  </w:pPr>
                  <w:r>
                    <w:rPr>
                      <w:rFonts w:ascii="Calibri" w:hAnsi="Calibri"/>
                      <w:sz w:val="20"/>
                    </w:rPr>
                    <w:t xml:space="default">0.0</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0.0</w:t>
                  </w:r>
                </w:p>
              </w:tc>
              <w:tc>
                <w:tcPr>
                  <w:tcBorders>
                    <w:top w:val="single" w:space="0" w:color="D3D3D3"/>
                    <w:bottom w:val="single" w:space="0" w:color="D3D3D3"/>
                    <w:start w:val="single" w:space="0" w:color="D3D3D3"/>
                    <w:end w:val="single" w:space="0" w:color="D3D3D3"/>
                  </w:tcBorders>
                  <w:shd w:val="clear" w:color="auto" w:fill="FCB296"/>
                </w:tcPr>
                <w:p>
                  <w:pPr>
                    <w:spacing w:before="0" w:after="60"/>
                    <w:keepNext/>
                    <w:jc w:val="end"/>
                  </w:pPr>
                  <w:r>
                    <w:rPr>
                      <w:rFonts w:ascii="Calibri" w:hAnsi="Calibri"/>
                      <w:sz w:val="20"/>
                    </w:rPr>
                    <w:t xml:space="default">0.0</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Total negative log likelihood</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1,544.1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1,364.8</w:t>
                  </w:r>
                </w:p>
              </w:tc>
              <w:tc>
                <w:tcPr>
                  <w:tcBorders>
                    <w:top w:val="single" w:space="0" w:color="D3D3D3"/>
                    <w:bottom w:val="single" w:space="0" w:color="D3D3D3"/>
                    <w:start w:val="single" w:space="0" w:color="D3D3D3"/>
                    <w:end w:val="single" w:space="0" w:color="D3D3D3"/>
                  </w:tcBorders>
                  <w:shd w:val="clear" w:color="auto" w:fill="FFEBE2"/>
                </w:tcPr>
                <w:p>
                  <w:pPr>
                    <w:spacing w:before="0" w:after="60"/>
                    <w:keepNext/>
                    <w:jc w:val="end"/>
                  </w:pPr>
                  <w:r>
                    <w:rPr>
                      <w:rFonts w:ascii="Calibri" w:hAnsi="Calibri"/>
                      <w:sz w:val="20"/>
                    </w:rPr>
                    <w:t xml:space="default">1,518.5</w:t>
                  </w:r>
                </w:p>
              </w:tc>
              <w:tc>
                <w:tcPr>
                  <w:tcBorders>
                    <w:top w:val="single" w:space="0" w:color="D3D3D3"/>
                    <w:bottom w:val="single" w:space="0" w:color="D3D3D3"/>
                    <w:start w:val="single" w:space="0" w:color="D3D3D3"/>
                    <w:end w:val="single" w:space="0" w:color="D3D3D3"/>
                  </w:tcBorders>
                  <w:shd w:val="clear" w:color="auto" w:fill="FDD0BF"/>
                </w:tcPr>
                <w:p>
                  <w:pPr>
                    <w:spacing w:before="0" w:after="60"/>
                    <w:keepNext/>
                    <w:jc w:val="end"/>
                  </w:pPr>
                  <w:r>
                    <w:rPr>
                      <w:rFonts w:ascii="Calibri" w:hAnsi="Calibri"/>
                      <w:sz w:val="20"/>
                    </w:rPr>
                    <w:t xml:space="default">1,450.8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Estimated parameters (count)</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480</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870</w:t>
                  </w:r>
                </w:p>
              </w:tc>
              <w:tc>
                <w:tcPr>
                  <w:tcBorders>
                    <w:top w:val="single" w:space="0" w:color="D3D3D3"/>
                    <w:bottom w:val="single" w:space="0" w:color="D3D3D3"/>
                    <w:start w:val="single" w:space="0" w:color="D3D3D3"/>
                    <w:end w:val="single" w:space="0" w:color="D3D3D3"/>
                  </w:tcBorders>
                  <w:shd w:val="clear" w:color="auto" w:fill="FCB093"/>
                </w:tcPr>
                <w:p>
                  <w:pPr>
                    <w:spacing w:before="0" w:after="60"/>
                    <w:keepNext/>
                    <w:jc w:val="end"/>
                  </w:pPr>
                  <w:r>
                    <w:rPr>
                      <w:rFonts w:ascii="Calibri" w:hAnsi="Calibri"/>
                      <w:sz w:val="20"/>
                    </w:rPr>
                    <w:t xml:space="default">490</w:t>
                  </w:r>
                </w:p>
              </w:tc>
              <w:tc>
                <w:tcPr>
                  <w:tcBorders>
                    <w:top w:val="single" w:space="0" w:color="D3D3D3"/>
                    <w:bottom w:val="single" w:space="0" w:color="D3D3D3"/>
                    <w:start w:val="single" w:space="0" w:color="D3D3D3"/>
                    <w:end w:val="single" w:space="0" w:color="D3D3D3"/>
                  </w:tcBorders>
                  <w:shd w:val="clear" w:color="auto" w:fill="FDBFA8"/>
                </w:tcPr>
                <w:p>
                  <w:pPr>
                    <w:spacing w:before="0" w:after="60"/>
                    <w:keepNext/>
                    <w:jc w:val="end"/>
                  </w:pPr>
                  <w:r>
                    <w:rPr>
                      <w:rFonts w:ascii="Calibri" w:hAnsi="Calibri"/>
                      <w:sz w:val="20"/>
                    </w:rPr>
                    <w:t xml:space="default">575</w:t>
                  </w:r>
                </w:p>
              </w:tc>
            </w:tr>
          </w:tbl>
          <w:bookmarkEnd w:id="88"/>
        </w:tc>
      </w:tr>
    </w:tbl>
    <w:p>
      <w:pPr>
        <w:pStyle w:val="BodyText"/>
      </w:pPr>
      <w:r>
        <w:rPr>
          <w:b/>
          <w:bCs/>
        </w:rPr>
        <w:t xml:space="preserve">75.</w:t>
      </w:r>
      <w:r>
        <w:t xml:space="preserve"> </w:t>
      </w:r>
      <w:r>
        <w:t xml:space="preserve">The fitted catchability paths for</w:t>
      </w:r>
      <w:r>
        <w:t xml:space="preserve"> </w:t>
      </w:r>
      <w:r>
        <w:rPr>
          <w:rStyle w:val="VerbatimChar"/>
        </w:rPr>
        <w:t xml:space="preserve">h1_2.01.3</w:t>
      </w:r>
      <w:r>
        <w:t xml:space="preserve"> </w:t>
      </w:r>
      <w:r>
        <w:t xml:space="preserve">are shown in</w:t>
      </w:r>
      <w:r>
        <w:t xml:space="preserve"> </w:t>
      </w:r>
      <w:hyperlink w:anchor="fig-selectivity-sc5-qtrend">
        <w:r>
          <w:rPr>
            <w:rStyle w:val="Hyperlink"/>
          </w:rPr>
          <w:t xml:space="preserve">Figure 10</w:t>
        </w:r>
      </w:hyperlink>
      <w:r>
        <w:t xml:space="preserve">. To place the four indices on a comparable scale, each q series is divided by its own mean over the common shortest fitted window, 2009-2024, which is the full random-walk span for Offshore CPUE. On that normalized scale, the figure emphasizes the relative temporal pattern rather than the absolute q level and shows that the strongest drift is concentrated in the retained index series where the fit gains were largest.</w:t>
      </w:r>
    </w:p>
    <w:tbl>
      <w:tblPr>
        <w:tblStyle w:val="Table"/>
        <w:tblW w:type="pct" w:w="5000"/>
        <w:tblLayout w:type="fixed"/>
        <w:tblLook w:firstRow="0" w:lastRow="0" w:firstColumn="0" w:lastColumn="0" w:noHBand="0" w:noVBand="0" w:val="0000"/>
      </w:tblPr>
      <w:tblGrid>
        <w:gridCol w:w="7920"/>
      </w:tblGrid>
      <w:tr>
        <w:tc>
          <w:tcPr/>
          <w:bookmarkStart w:id="92" w:name="fig-selectivity-sc5-qtrend"/>
          <w:p>
            <w:pPr>
              <w:pStyle w:val="Compact"/>
              <w:jc w:val="center"/>
            </w:pPr>
            <w:r>
              <w:drawing>
                <wp:inline>
                  <wp:extent cx="5334000" cy="3194843"/>
                  <wp:effectExtent b="0" l="0" r="0" t="0"/>
                  <wp:docPr descr="" title="" id="90" name="Picture"/>
                  <a:graphic>
                    <a:graphicData uri="http://schemas.openxmlformats.org/drawingml/2006/picture">
                      <pic:pic>
                        <pic:nvPicPr>
                          <pic:cNvPr descr="SCW16-Paper-01_files/figure-docx/fig-selectivity-sc5-qtrend-1.png" id="91" name="Picture"/>
                          <pic:cNvPicPr>
                            <a:picLocks noChangeArrowheads="1" noChangeAspect="1"/>
                          </pic:cNvPicPr>
                        </pic:nvPicPr>
                        <pic:blipFill>
                          <a:blip r:embed="rId89"/>
                          <a:stretch>
                            <a:fillRect/>
                          </a:stretch>
                        </pic:blipFill>
                        <pic:spPr bwMode="auto">
                          <a:xfrm>
                            <a:off x="0" y="0"/>
                            <a:ext cx="5334000" cy="3194843"/>
                          </a:xfrm>
                          <a:prstGeom prst="rect">
                            <a:avLst/>
                          </a:prstGeom>
                          <a:noFill/>
                          <a:ln w="9525">
                            <a:noFill/>
                            <a:headEnd/>
                            <a:tailEnd/>
                          </a:ln>
                        </pic:spPr>
                      </pic:pic>
                    </a:graphicData>
                  </a:graphic>
                </wp:inline>
              </w:drawing>
            </w:r>
          </w:p>
          <w:p>
            <w:pPr>
              <w:jc w:val="center"/>
            </w:pPr>
            <w:pPr>
              <w:jc w:val="left"/>
              <w:spacing w:before="200"/>
              <w:pStyle w:val="ImageCaption"/>
            </w:pPr>
            <w:r>
              <w:t xml:space="preserve">Figure 10: Time trend in fitted catchability for the retained comparable indices in</w:t>
            </w:r>
            <w:r>
              <w:t xml:space="preserve"> </w:t>
            </w:r>
            <w:r>
              <w:rPr>
                <w:rStyle w:val="VerbatimChar"/>
              </w:rPr>
              <w:t xml:space="preserve">h1_2.01.3</w:t>
            </w:r>
            <w:r>
              <w:t xml:space="preserve">, rescaled so each series has mean 1 over 2009-2024, the shortest fitted random-walk window shared across the four series.</w:t>
            </w:r>
          </w:p>
          <w:bookmarkEnd w:id="92"/>
        </w:tc>
      </w:tr>
    </w:tbl>
    <w:bookmarkStart w:id="101" w:name="fig-selectivity-sc5-compare"/>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96" w:name="fig-selectivity-sc5-compare-1"/>
                <w:p>
                  <w:pPr>
                    <w:pStyle w:val="Compact"/>
                    <w:jc w:val="center"/>
                    <w:jc w:val="left"/>
                  </w:pPr>
                  <w:r>
                    <w:drawing>
                      <wp:inline>
                        <wp:extent cx="2971800" cy="4754880"/>
                        <wp:effectExtent b="0" l="0" r="0" t="0"/>
                        <wp:docPr descr="" title="" id="94" name="Picture"/>
                        <a:graphic>
                          <a:graphicData uri="http://schemas.openxmlformats.org/drawingml/2006/picture">
                            <pic:pic>
                              <pic:nvPicPr>
                                <pic:cNvPr descr="SCW16-Paper-01_files/figure-docx/fig-selectivity-sc5-compare-1.png" id="95" name="Picture"/>
                                <pic:cNvPicPr>
                                  <a:picLocks noChangeArrowheads="1" noChangeAspect="1"/>
                                </pic:cNvPicPr>
                              </pic:nvPicPr>
                              <pic:blipFill>
                                <a:blip r:embed="rId93"/>
                                <a:stretch>
                                  <a:fillRect/>
                                </a:stretch>
                              </pic:blipFill>
                              <pic:spPr bwMode="auto">
                                <a:xfrm>
                                  <a:off x="0" y="0"/>
                                  <a:ext cx="2971800" cy="4754880"/>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(a) Model</w:t>
                  </w:r>
                  <w:r>
                    <w:t xml:space="preserve"> </w:t>
                  </w:r>
                  <w:r>
                    <w:rPr>
                      <w:rStyle w:val="VerbatimChar"/>
                    </w:rPr>
                    <w:t xml:space="preserve">h1_2.01.1</w:t>
                  </w:r>
                </w:p>
                <w:bookmarkEnd w:id="96"/>
              </w:tc>
            </w:tr>
          </w:tbl>
          <w:p/>
        </w:tc>
        <w:tc>
          <w:tcPr/>
          <w:tbl>
            <w:tblPr>
              <w:tblStyle w:val="Table"/>
              <w:tblW w:type="pct" w:w="4900"/>
              <w:tblLayout w:type="fixed"/>
              <w:tblLook w:firstRow="0" w:lastRow="0" w:firstColumn="0" w:lastColumn="0" w:noHBand="0" w:noVBand="0" w:val="0000"/>
            </w:tblPr>
            <w:tblGrid>
              <w:gridCol w:w="7761"/>
            </w:tblGrid>
            <w:tr>
              <w:tc>
                <w:tcPr/>
                <w:bookmarkStart w:id="100" w:name="fig-selectivity-sc5-compare-2"/>
                <w:p>
                  <w:pPr>
                    <w:pStyle w:val="Compact"/>
                    <w:jc w:val="center"/>
                    <w:jc w:val="left"/>
                  </w:pPr>
                  <w:r>
                    <w:drawing>
                      <wp:inline>
                        <wp:extent cx="2971800" cy="4754880"/>
                        <wp:effectExtent b="0" l="0" r="0" t="0"/>
                        <wp:docPr descr="" title="" id="98" name="Picture"/>
                        <a:graphic>
                          <a:graphicData uri="http://schemas.openxmlformats.org/drawingml/2006/picture">
                            <pic:pic>
                              <pic:nvPicPr>
                                <pic:cNvPr descr="SCW16-Paper-01_files/figure-docx/fig-selectivity-sc5-compare-2.png" id="99" name="Picture"/>
                                <pic:cNvPicPr>
                                  <a:picLocks noChangeArrowheads="1" noChangeAspect="1"/>
                                </pic:cNvPicPr>
                              </pic:nvPicPr>
                              <pic:blipFill>
                                <a:blip r:embed="rId97"/>
                                <a:stretch>
                                  <a:fillRect/>
                                </a:stretch>
                              </pic:blipFill>
                              <pic:spPr bwMode="auto">
                                <a:xfrm>
                                  <a:off x="0" y="0"/>
                                  <a:ext cx="2971800" cy="4754880"/>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(b) Model</w:t>
                  </w:r>
                  <w:r>
                    <w:t xml:space="preserve"> </w:t>
                  </w:r>
                  <w:r>
                    <w:rPr>
                      <w:rStyle w:val="VerbatimChar"/>
                    </w:rPr>
                    <w:t xml:space="preserve">h1_2.01.2</w:t>
                  </w:r>
                </w:p>
                <w:bookmarkEnd w:id="100"/>
              </w:tc>
            </w:tr>
          </w:tbl>
          <w:p/>
        </w:tc>
      </w:tr>
    </w:tbl>
    <w:p>
      <w:pPr>
        <w:pStyle w:val="BodyText"/>
      </w:pPr>
      <w:pPr>
        <w:spacing w:before="200"/>
        <w:pStyle w:val="ImageCaption"/>
      </w:pPr>
      <w:r>
        <w:t xml:space="preserve">Figure 11: Estimates of selectivity by fishery over time for Models</w:t>
      </w:r>
      <w:r>
        <w:t xml:space="preserve"> </w:t>
      </w:r>
      <w:r>
        <w:rPr>
          <w:rStyle w:val="VerbatimChar"/>
        </w:rPr>
        <w:t xml:space="preserve">h1_2.01.1</w:t>
      </w:r>
      <w:r>
        <w:t xml:space="preserve"> </w:t>
      </w:r>
      <w:r>
        <w:t xml:space="preserve">and</w:t>
      </w:r>
      <w:r>
        <w:t xml:space="preserve"> </w:t>
      </w:r>
      <w:r>
        <w:rPr>
          <w:rStyle w:val="VerbatimChar"/>
        </w:rPr>
        <w:t xml:space="preserve">h1_2.01.2</w:t>
      </w:r>
      <w:r>
        <w:t xml:space="preserve">, shown in the same style as Figure 37 of the SC13 Jack Mackerel Technical Annex</w:t>
      </w:r>
      <w:r>
        <w:t xml:space="preserve"> </w:t>
      </w:r>
      <w:r>
        <w:t xml:space="preserve">(SPRFMO Scientific Committee, 2025)</w:t>
      </w:r>
      <w:r>
        <w:t xml:space="preserve">.</w:t>
      </w:r>
    </w:p>
    <w:bookmarkEnd w:id="101"/>
    <w:tbl>
      <w:tblPr>
        <w:tblStyle w:val="Table"/>
        <w:tblW w:type="pct" w:w="5000"/>
        <w:tblLayout w:type="fixed"/>
        <w:tblLook w:firstRow="0" w:lastRow="0" w:firstColumn="0" w:lastColumn="0" w:noHBand="0" w:noVBand="0" w:val="0000"/>
      </w:tblPr>
      <w:tblGrid>
        <w:gridCol w:w="7920"/>
      </w:tblGrid>
      <w:tr>
        <w:tc>
          <w:tcPr/>
          <w:bookmarkStart w:id="105" w:name="fig-selectivity-sc5-ssb"/>
          <w:p>
            <w:pPr>
              <w:pStyle w:val="Compact"/>
              <w:jc w:val="center"/>
            </w:pPr>
            <w:r>
              <w:drawing>
                <wp:inline>
                  <wp:extent cx="5334000" cy="3194843"/>
                  <wp:effectExtent b="0" l="0" r="0" t="0"/>
                  <wp:docPr descr="" title="" id="103" name="Picture"/>
                  <a:graphic>
                    <a:graphicData uri="http://schemas.openxmlformats.org/drawingml/2006/picture">
                      <pic:pic>
                        <pic:nvPicPr>
                          <pic:cNvPr descr="SCW16-Paper-01_files/figure-docx/fig-selectivity-sc5-ssb-1.png" id="104" name="Picture"/>
                          <pic:cNvPicPr>
                            <a:picLocks noChangeArrowheads="1" noChangeAspect="1"/>
                          </pic:cNvPicPr>
                        </pic:nvPicPr>
                        <pic:blipFill>
                          <a:blip r:embed="rId102"/>
                          <a:stretch>
                            <a:fillRect/>
                          </a:stretch>
                        </pic:blipFill>
                        <pic:spPr bwMode="auto">
                          <a:xfrm>
                            <a:off x="0" y="0"/>
                            <a:ext cx="5334000" cy="3194843"/>
                          </a:xfrm>
                          <a:prstGeom prst="rect">
                            <a:avLst/>
                          </a:prstGeom>
                          <a:noFill/>
                          <a:ln w="9525">
                            <a:noFill/>
                            <a:headEnd/>
                            <a:tailEnd/>
                          </a:ln>
                        </pic:spPr>
                      </pic:pic>
                    </a:graphicData>
                  </a:graphic>
                </wp:inline>
              </w:drawing>
            </w:r>
          </w:p>
          <w:p>
            <w:pPr>
              <w:jc w:val="center"/>
            </w:pPr>
            <w:pPr>
              <w:jc w:val="left"/>
              <w:spacing w:before="200"/>
              <w:pStyle w:val="ImageCaption"/>
            </w:pPr>
            <w:r>
              <w:t xml:space="preserve">Figure 12: Comparison of spawning biomass trajectories for the original fishery-block model (</w:t>
            </w:r>
            <w:r>
              <w:rPr>
                <w:rStyle w:val="VerbatimChar"/>
              </w:rPr>
              <w:t xml:space="preserve">h1_2.01</w:t>
            </w:r>
            <w:r>
              <w:t xml:space="preserve">), the annual S-C Chile variant (</w:t>
            </w:r>
            <w:r>
              <w:rPr>
                <w:rStyle w:val="VerbatimChar"/>
              </w:rPr>
              <w:t xml:space="preserve">h1_2.01.1</w:t>
            </w:r>
            <w:r>
              <w:t xml:space="preserve">), and the five-block S-C Chile variant (</w:t>
            </w:r>
            <w:r>
              <w:rPr>
                <w:rStyle w:val="VerbatimChar"/>
              </w:rPr>
              <w:t xml:space="preserve">h1_2.01.2</w:t>
            </w:r>
            <w:r>
              <w:t xml:space="preserve">).</w:t>
            </w:r>
          </w:p>
          <w:bookmarkEnd w:id="105"/>
        </w:tc>
      </w:tr>
    </w:tbl>
    <w:bookmarkEnd w:id="106"/>
    <w:bookmarkEnd w:id="107"/>
    <w:bookmarkEnd w:id="108"/>
    <w:bookmarkStart w:id="124" w:name="harmonized-northern-treatment"/>
    <w:p>
      <w:pPr>
        <w:pStyle w:val="Heading2"/>
      </w:pPr>
      <w:r>
        <w:t xml:space="preserve">6.3 Harmonized Northern Treatment</w:t>
      </w:r>
    </w:p>
    <w:p>
      <w:pPr>
        <w:pStyle w:val="FirstParagraph"/>
      </w:pPr>
      <w:r>
        <w:rPr>
          <w:b/>
          <w:bCs/>
        </w:rPr>
        <w:t xml:space="preserve">76.</w:t>
      </w:r>
      <w:r>
        <w:t xml:space="preserve"> </w:t>
      </w:r>
      <w:r>
        <w:t xml:space="preserve">A fourth option is to harmonize how the Far North observations are treated across the single-stock and two-stock hypotheses. The objective would be to ensure that future comparisons of one-stock and two-stock MSE operating models are driven primarily by stock structure rather than by unrelated differences in selectivity regularization.</w:t>
      </w:r>
    </w:p>
    <w:p>
      <w:pPr>
        <w:pStyle w:val="BodyText"/>
      </w:pPr>
      <w:r>
        <w:rPr>
          <w:b/>
          <w:bCs/>
        </w:rPr>
        <w:t xml:space="preserve">77.</w:t>
      </w:r>
      <w:r>
        <w:t xml:space="preserve"> </w:t>
      </w:r>
      <w:r>
        <w:t xml:space="preserve">As documented in Section 4, the current difference between</w:t>
      </w:r>
      <w:r>
        <w:t xml:space="preserve"> </w:t>
      </w:r>
      <w:r>
        <w:rPr>
          <w:rStyle w:val="VerbatimChar"/>
        </w:rPr>
        <w:t xml:space="preserve">h1</w:t>
      </w:r>
      <w:r>
        <w:t xml:space="preserve"> </w:t>
      </w:r>
      <w:r>
        <w:t xml:space="preserve">and</w:t>
      </w:r>
      <w:r>
        <w:t xml:space="preserve"> </w:t>
      </w:r>
      <w:r>
        <w:rPr>
          <w:rStyle w:val="VerbatimChar"/>
        </w:rPr>
        <w:t xml:space="preserve">h2</w:t>
      </w:r>
      <w:r>
        <w:t xml:space="preserve"> </w:t>
      </w:r>
      <w:r>
        <w:t xml:space="preserve">is not purely about stock allocation. It also reflects a very different degree of flexibility in Far North fleet selectivity:</w:t>
      </w:r>
      <w:r>
        <w:t xml:space="preserve"> </w:t>
      </w:r>
      <w:r>
        <w:rPr>
          <w:rStyle w:val="VerbatimChar"/>
        </w:rPr>
        <w:t xml:space="preserve">h1_1.14</w:t>
      </w:r>
      <w:r>
        <w:t xml:space="preserve"> </w:t>
      </w:r>
      <w:r>
        <w:t xml:space="preserve">allows annual variation from 1981, while</w:t>
      </w:r>
      <w:r>
        <w:t xml:space="preserve"> </w:t>
      </w:r>
      <w:r>
        <w:rPr>
          <w:rStyle w:val="VerbatimChar"/>
        </w:rPr>
        <w:t xml:space="preserve">h2_1.14</w:t>
      </w:r>
      <w:r>
        <w:t xml:space="preserve"> </w:t>
      </w:r>
      <w:r>
        <w:t xml:space="preserve">uses a much simpler two-regime structure centred on 2002. This confound makes it difficult to attribute differences in MSE outcomes between</w:t>
      </w:r>
      <w:r>
        <w:t xml:space="preserve"> </w:t>
      </w:r>
      <w:r>
        <w:rPr>
          <w:rStyle w:val="VerbatimChar"/>
        </w:rPr>
        <w:t xml:space="preserve">h1</w:t>
      </w:r>
      <w:r>
        <w:t xml:space="preserve"> </w:t>
      </w:r>
      <w:r>
        <w:t xml:space="preserve">and</w:t>
      </w:r>
      <w:r>
        <w:t xml:space="preserve"> </w:t>
      </w:r>
      <w:r>
        <w:rPr>
          <w:rStyle w:val="VerbatimChar"/>
        </w:rPr>
        <w:t xml:space="preserve">h2</w:t>
      </w:r>
      <w:r>
        <w:t xml:space="preserve"> </w:t>
      </w:r>
      <w:r>
        <w:t xml:space="preserve">to stock structure as opposed to selectivity specification.</w:t>
      </w:r>
    </w:p>
    <w:p>
      <w:pPr>
        <w:pStyle w:val="BodyText"/>
      </w:pPr>
      <w:r>
        <w:rPr>
          <w:b/>
          <w:bCs/>
        </w:rPr>
        <w:t xml:space="preserve">78.</w:t>
      </w:r>
      <w:r>
        <w:t xml:space="preserve"> </w:t>
      </w:r>
      <w:r>
        <w:t xml:space="preserve">Additional input from Peru suggests that the 2002 change should be viewed as the start of a transition in Far North selectivity rather than as a single instantaneous break. A plausible mechanism is the regulatory shift toward direct human consumption (DHC), associated with changes in fleet composition, freezing capacity, mesh size, fishing areas, and school-selection practice. Under that interpretation, 2002-2013 is a transition period with more variable size modes, while 2014-2025 shows a clearer shift toward larger sizes, with a stronger increase from about 2018 onward.</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09" name="Picture"/>
                  <a:graphic>
                    <a:graphicData uri="http://schemas.openxmlformats.org/drawingml/2006/picture">
                      <pic:pic>
                        <pic:nvPicPr>
                          <pic:cNvPr descr="/Applications/quarto/share/formats/docx/note.png" id="110" name="Picture"/>
                          <pic:cNvPicPr>
                            <a:picLocks noChangeArrowheads="1" noChangeAspect="1"/>
                          </pic:cNvPicPr>
                        </pic:nvPicPr>
                        <pic:blipFill>
                          <a:blip r:embed="rId3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 (I. Mosqueira)</w:t>
            </w:r>
          </w:p>
        </w:tc>
      </w:tr>
      <w:tr>
        <w:trPr>
          <w:cantSplit/>
        </w:trPr>
        <w:tc>
          <w:tcPr>
            <w:tcMar>
              <w:top w:w="108" w:type="dxa"/>
              <w:bottom w:w="108" w:type="dxa"/>
            </w:tcMar>
          </w:tcPr>
          <w:p>
            <w:pPr>
              <w:pStyle w:val="BodyText"/>
            </w:pPr>
            <w:pPr>
              <w:spacing w:before="16"/>
            </w:pPr>
            <w:r>
              <w:rPr>
                <w:b/>
                <w:bCs/>
              </w:rPr>
              <w:t xml:space="preserve">79.</w:t>
            </w:r>
            <w:r>
              <w:t xml:space="preserve"> </w:t>
            </w:r>
            <w:r>
              <w:t xml:space="preserve">The harmonization objective should be to align the</w:t>
            </w:r>
            <w:r>
              <w:t xml:space="preserve"> </w:t>
            </w:r>
            <w:r>
              <w:rPr>
                <w:b/>
                <w:bCs/>
              </w:rPr>
              <w:t xml:space="preserve">selectivity structure</w:t>
            </w:r>
            <w:r>
              <w:t xml:space="preserve"> </w:t>
            </w:r>
            <w:r>
              <w:t xml:space="preserve">of the Far North</w:t>
            </w:r>
            <w:r>
              <w:t xml:space="preserve"> </w:t>
            </w:r>
            <w:r>
              <w:t xml:space="preserve">fleet across</w:t>
            </w:r>
            <w:r>
              <w:t xml:space="preserve"> </w:t>
            </w:r>
            <w:r>
              <w:rPr>
                <w:rStyle w:val="VerbatimChar"/>
              </w:rPr>
              <w:t xml:space="preserve">h1</w:t>
            </w:r>
            <w:r>
              <w:t xml:space="preserve"> </w:t>
            </w:r>
            <w:r>
              <w:t xml:space="preserve">and</w:t>
            </w:r>
            <w:r>
              <w:t xml:space="preserve"> </w:t>
            </w:r>
            <w:r>
              <w:rPr>
                <w:rStyle w:val="VerbatimChar"/>
              </w:rPr>
              <w:t xml:space="preserve">h2</w:t>
            </w:r>
            <w:r>
              <w:t xml:space="preserve">, while retaining the</w:t>
            </w:r>
            <w:r>
              <w:t xml:space="preserve"> </w:t>
            </w:r>
            <w:r>
              <w:rPr>
                <w:b/>
                <w:bCs/>
              </w:rPr>
              <w:t xml:space="preserve">biological differences</w:t>
            </w:r>
            <w:r>
              <w:t xml:space="preserve"> </w:t>
            </w:r>
            <w:r>
              <w:t xml:space="preserve">that distinguish</w:t>
            </w:r>
            <w:r>
              <w:t xml:space="preserve"> </w:t>
            </w:r>
            <w:r>
              <w:t xml:space="preserve">the two-stock hypothesis. In practice, this means that differences in natural mortality,</w:t>
            </w:r>
            <w:r>
              <w:t xml:space="preserve"> </w:t>
            </w:r>
            <w:r>
              <w:t xml:space="preserve">growth, maturity, and weight-at-age should be preserved in</w:t>
            </w:r>
            <w:r>
              <w:t xml:space="preserve"> </w:t>
            </w:r>
            <w:r>
              <w:rPr>
                <w:rStyle w:val="VerbatimChar"/>
              </w:rPr>
              <w:t xml:space="preserve">h2</w:t>
            </w:r>
            <w:r>
              <w:t xml:space="preserve"> </w:t>
            </w:r>
            <w:r>
              <w:t xml:space="preserve">as currently specified.</w:t>
            </w:r>
            <w:r>
              <w:t xml:space="preserve"> </w:t>
            </w:r>
            <w:r>
              <w:t xml:space="preserve">What should be harmonized is the structural form and degree of flexibility allowed in</w:t>
            </w:r>
            <w:r>
              <w:t xml:space="preserve"> </w:t>
            </w:r>
            <w:r>
              <w:t xml:space="preserve">Far North fleet selectivity, so that a comparison of h1 and h2 MSE outcomes reflects</w:t>
            </w:r>
            <w:r>
              <w:t xml:space="preserve"> </w:t>
            </w:r>
            <w:r>
              <w:t xml:space="preserve">stock structure rather than selectivity regularization.</w:t>
            </w:r>
          </w:p>
          <w:p>
            <w:pPr>
              <w:pStyle w:val="BodyText"/>
            </w:pPr>
            <w:pPr>
              <w:spacing w:after="16"/>
            </w:pPr>
            <w:r>
              <w:rPr>
                <w:b/>
                <w:bCs/>
              </w:rPr>
              <w:t xml:space="preserve">80.</w:t>
            </w:r>
            <w:r>
              <w:t xml:space="preserve"> </w:t>
            </w:r>
            <w:r>
              <w:t xml:space="preserve">One additional area that has been discussed but not yet implemented is explicit uncertainty</w:t>
            </w:r>
            <w:r>
              <w:t xml:space="preserve"> </w:t>
            </w:r>
            <w:r>
              <w:t xml:space="preserve">in northern stock biology, particularly growth. The two-stock hypothesis implies</w:t>
            </w:r>
            <w:r>
              <w:t xml:space="preserve"> </w:t>
            </w:r>
            <w:r>
              <w:t xml:space="preserve">different population dynamics for the northern component, but the current implementation</w:t>
            </w:r>
            <w:r>
              <w:t xml:space="preserve"> </w:t>
            </w:r>
            <w:r>
              <w:t xml:space="preserve">draws on growth parameters estimated from combined data without formal uncertainty in</w:t>
            </w:r>
            <w:r>
              <w:t xml:space="preserve"> </w:t>
            </w:r>
            <w:r>
              <w:t xml:space="preserve">the stock-specific parameters. Uncertainty in northern growth or natural mortality could</w:t>
            </w:r>
            <w:r>
              <w:t xml:space="preserve"> </w:t>
            </w:r>
            <w:r>
              <w:t xml:space="preserve">be incorporated as candidate robustness scenarios in later MSE phases if data become</w:t>
            </w:r>
            <w:r>
              <w:t xml:space="preserve"> </w:t>
            </w:r>
            <w:r>
              <w:t xml:space="preserve">available to support alternative parameterizations.</w:t>
            </w:r>
          </w:p>
          <w:p/>
        </w:tc>
      </w:tr>
    </w:tbl>
    <w:p>
      <w:pPr>
        <w:pStyle w:val="BodyText"/>
      </w:pPr>
      <w:r>
        <w:rPr>
          <w:b/>
          <w:bCs/>
        </w:rPr>
        <w:t xml:space="preserve">81.</w:t>
      </w:r>
      <w:r>
        <w:t xml:space="preserve"> </w:t>
      </w:r>
      <w:r>
        <w:t xml:space="preserve">Taken together, this supports allowing Far North selectivity to vary over time as a more realistic representation than a strict two-regime split centred on 2002 (as in</w:t>
      </w:r>
      <w:r>
        <w:t xml:space="preserve"> </w:t>
      </w:r>
      <w:r>
        <w:rPr>
          <w:rStyle w:val="VerbatimChar"/>
        </w:rPr>
        <w:t xml:space="preserve">h2_1.14</w:t>
      </w:r>
      <w:r>
        <w:t xml:space="preserve">). For MSE implementation, a block-based treatment is a practical compromise between realism and tractability. A candidate structure is pre-2002, 2002-2013, and 2014-2025, with an optional additional split near 2018 if diagnostics support it.</w:t>
      </w:r>
    </w:p>
    <w:p>
      <w:pPr>
        <w:pStyle w:val="BodyText"/>
      </w:pPr>
      <w:r>
        <w:rPr>
          <w:b/>
          <w:bCs/>
        </w:rPr>
        <w:t xml:space="preserve">82.</w:t>
      </w:r>
      <w:r>
        <w:t xml:space="preserve"> </w:t>
      </w:r>
      <w:r>
        <w:t xml:space="preserve">To examine that issue more directly, I fitted two harmonized variants using the</w:t>
      </w:r>
      <w:r>
        <w:t xml:space="preserve"> </w:t>
      </w:r>
      <w:r>
        <w:t xml:space="preserve">reduced-index data configuration. Model</w:t>
      </w:r>
      <w:r>
        <w:t xml:space="preserve"> </w:t>
      </w:r>
      <w:r>
        <w:rPr>
          <w:rStyle w:val="VerbatimChar"/>
        </w:rPr>
        <w:t xml:space="preserve">h1_2.02</w:t>
      </w:r>
      <w:r>
        <w:t xml:space="preserve"> </w:t>
      </w:r>
      <w:r>
        <w:t xml:space="preserve">is</w:t>
      </w:r>
      <w:r>
        <w:t xml:space="preserve"> </w:t>
      </w:r>
      <w:r>
        <w:rPr>
          <w:rStyle w:val="VerbatimChar"/>
        </w:rPr>
        <w:t xml:space="preserve">h1_2.00</w:t>
      </w:r>
      <w:r>
        <w:t xml:space="preserve"> </w:t>
      </w:r>
      <w:r>
        <w:t xml:space="preserve">with the Far North fishery</w:t>
      </w:r>
      <w:r>
        <w:t xml:space="preserve"> </w:t>
      </w:r>
      <w:r>
        <w:t xml:space="preserve">selectivity simplified to the same 2002 split used in</w:t>
      </w:r>
      <w:r>
        <w:t xml:space="preserve"> </w:t>
      </w:r>
      <w:r>
        <w:rPr>
          <w:rStyle w:val="VerbatimChar"/>
        </w:rPr>
        <w:t xml:space="preserve">h2_1.14</w:t>
      </w:r>
      <w:r>
        <w:t xml:space="preserve">, while</w:t>
      </w:r>
      <w:r>
        <w:t xml:space="preserve"> </w:t>
      </w:r>
      <w:r>
        <w:rPr>
          <w:rStyle w:val="VerbatimChar"/>
        </w:rPr>
        <w:t xml:space="preserve">h2_2.02</w:t>
      </w:r>
      <w:r>
        <w:t xml:space="preserve"> </w:t>
      </w:r>
      <w:r>
        <w:t xml:space="preserve">is</w:t>
      </w:r>
      <w:r>
        <w:t xml:space="preserve"> </w:t>
      </w:r>
      <w:r>
        <w:rPr>
          <w:rStyle w:val="VerbatimChar"/>
        </w:rPr>
        <w:t xml:space="preserve">h2_1.14</w:t>
      </w:r>
      <w:r>
        <w:t xml:space="preserve"> </w:t>
      </w:r>
      <w:r>
        <w:t xml:space="preserve">rebuilt on the reduced-index</w:t>
      </w:r>
      <w:r>
        <w:t xml:space="preserve"> </w:t>
      </w:r>
      <w:r>
        <w:rPr>
          <w:rStyle w:val="VerbatimChar"/>
        </w:rPr>
        <w:t xml:space="preserve">2.00.dat</w:t>
      </w:r>
      <w:r>
        <w:t xml:space="preserve"> </w:t>
      </w:r>
      <w:r>
        <w:t xml:space="preserve">data set and with the same Far North</w:t>
      </w:r>
      <w:r>
        <w:t xml:space="preserve"> </w:t>
      </w:r>
      <w:r>
        <w:t xml:space="preserve">selectivity treatment. The resulting comparison is assessed using likelihood components</w:t>
      </w:r>
      <w:r>
        <w:t xml:space="preserve"> </w:t>
      </w:r>
      <w:r>
        <w:t xml:space="preserve">(</w:t>
      </w:r>
      <w:hyperlink w:anchor="tbl-north-harmonized-like-components">
        <w:r>
          <w:rPr>
            <w:rStyle w:val="Hyperlink"/>
          </w:rPr>
          <w:t xml:space="preserve">Table 6</w:t>
        </w:r>
      </w:hyperlink>
      <w:r>
        <w:t xml:space="preserve">), retained-index fits (</w:t>
      </w:r>
      <w:hyperlink w:anchor="fig-harmonized-index-fits">
        <w:r>
          <w:rPr>
            <w:rStyle w:val="Hyperlink"/>
          </w:rPr>
          <w:t xml:space="preserve">Figure 13</w:t>
        </w:r>
      </w:hyperlink>
      <w:r>
        <w:t xml:space="preserve">),</w:t>
      </w:r>
      <w:r>
        <w:t xml:space="preserve"> </w:t>
      </w:r>
      <w:r>
        <w:t xml:space="preserve">and system-level spawning biomass and recruitment trajectories</w:t>
      </w:r>
      <w:r>
        <w:t xml:space="preserve"> </w:t>
      </w:r>
      <w:r>
        <w:t xml:space="preserve">(</w:t>
      </w:r>
      <w:hyperlink w:anchor="fig-harmonized-ssb">
        <w:r>
          <w:rPr>
            <w:rStyle w:val="Hyperlink"/>
          </w:rPr>
          <w:t xml:space="preserve">Figure 14</w:t>
        </w:r>
      </w:hyperlink>
      <w:r>
        <w:t xml:space="preserve">;</w:t>
      </w:r>
      <w:r>
        <w:t xml:space="preserve"> </w:t>
      </w:r>
      <w:hyperlink w:anchor="fig-harmonized-rec">
        <w:r>
          <w:rPr>
            <w:rStyle w:val="Hyperlink"/>
          </w:rPr>
          <w:t xml:space="preserve">Figure 15</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11" w:name="tbl-north-harmonized-like-components"/>
          <w:p>
            <w:pPr>
              <w:jc w:val="center"/>
            </w:pPr>
            <w:pPr>
              <w:jc w:val="left"/>
              <w:spacing w:before="200"/>
              <w:pStyle w:val="ImageCaption"/>
            </w:pPr>
            <w:r>
              <w:t xml:space="preserve">Table 6: Negative-log-likelihood components and estimated parameter counts for the reduced-index single-stock model (</w:t>
            </w:r>
            <w:r>
              <w:rPr>
                <w:rStyle w:val="VerbatimChar"/>
              </w:rPr>
              <w:t xml:space="preserve">h1_2.00</w:t>
            </w:r>
            <w:r>
              <w:t xml:space="preserve">), the harmonized single-stock variant (</w:t>
            </w:r>
            <w:r>
              <w:rPr>
                <w:rStyle w:val="VerbatimChar"/>
              </w:rPr>
              <w:t xml:space="preserve">h1_2.02</w:t>
            </w:r>
            <w:r>
              <w:t xml:space="preserve">), and the harmonized two-stock reduced-index variant (</w:t>
            </w:r>
            <w:r>
              <w:rPr>
                <w:rStyle w:val="VerbatimChar"/>
              </w:rPr>
              <w:t xml:space="preserve">h2_2.02</w:t>
            </w:r>
            <w:r>
              <w:t xml:space="preserve">). The aggregate and component index rows include only the retained comparable series: Acoustic North, Chile CPUE, Peru CPUE, and Offshore CPUE.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Component</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h1_2.00</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h1_2.02</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h2_2.02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Catch likelihood</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0.8</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1.4</w:t>
                  </w:r>
                </w:p>
              </w:tc>
              <w:tc>
                <w:tcPr>
                  <w:tcBorders>
                    <w:top w:val="single" w:space="0" w:color="D3D3D3"/>
                    <w:bottom w:val="single" w:space="0" w:color="D3D3D3"/>
                    <w:start w:val="single" w:space="0" w:color="D3D3D3"/>
                    <w:end w:val="single" w:space="0" w:color="D3D3D3"/>
                  </w:tcBorders>
                  <w:shd w:val="clear" w:color="auto" w:fill="FDBFA7"/>
                </w:tcPr>
                <w:p>
                  <w:pPr>
                    <w:spacing w:before="0" w:after="60"/>
                    <w:keepNext/>
                    <w:jc w:val="end"/>
                  </w:pPr>
                  <w:r>
                    <w:rPr>
                      <w:rFonts w:ascii="Calibri" w:hAnsi="Calibri"/>
                      <w:sz w:val="20"/>
                    </w:rPr>
                    <w:t xml:space="default">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Fishery age compositions</w:t>
                  </w:r>
                </w:p>
              </w:tc>
              <w:tc>
                <w:tcPr>
                  <w:tcBorders>
                    <w:top w:val="single" w:space="0" w:color="D3D3D3"/>
                    <w:bottom w:val="single" w:space="0" w:color="D3D3D3"/>
                    <w:start w:val="single" w:space="0" w:color="D3D3D3"/>
                    <w:end w:val="single" w:space="0" w:color="D3D3D3"/>
                  </w:tcBorders>
                  <w:shd w:val="clear" w:color="auto" w:fill="FED2C1"/>
                </w:tcPr>
                <w:p>
                  <w:pPr>
                    <w:spacing w:before="0" w:after="60"/>
                    <w:keepNext/>
                    <w:jc w:val="end"/>
                  </w:pPr>
                  <w:r>
                    <w:rPr>
                      <w:rFonts w:ascii="Calibri" w:hAnsi="Calibri"/>
                      <w:sz w:val="20"/>
                    </w:rPr>
                    <w:t xml:space="default">262.9</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279.4</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246.2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North Chile fishery age comps</w:t>
                  </w:r>
                </w:p>
              </w:tc>
              <w:tc>
                <w:tcPr>
                  <w:tcBorders>
                    <w:top w:val="single" w:space="0" w:color="D3D3D3"/>
                    <w:bottom w:val="single" w:space="0" w:color="D3D3D3"/>
                    <w:start w:val="single" w:space="0" w:color="D3D3D3"/>
                    <w:end w:val="single" w:space="0" w:color="D3D3D3"/>
                  </w:tcBorders>
                  <w:shd w:val="clear" w:color="auto" w:fill="FEE6DC"/>
                </w:tcPr>
                <w:p>
                  <w:pPr>
                    <w:spacing w:before="0" w:after="60"/>
                    <w:keepNext/>
                    <w:jc w:val="end"/>
                  </w:pPr>
                  <w:r>
                    <w:rPr>
                      <w:rFonts w:ascii="Calibri" w:hAnsi="Calibri"/>
                      <w:sz w:val="20"/>
                    </w:rPr>
                    <w:t xml:space="default">113.2</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113.8</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110.9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S-C Chile fishery age comps</w:t>
                  </w:r>
                </w:p>
              </w:tc>
              <w:tc>
                <w:tcPr>
                  <w:tcBorders>
                    <w:top w:val="single" w:space="0" w:color="D3D3D3"/>
                    <w:bottom w:val="single" w:space="0" w:color="D3D3D3"/>
                    <w:start w:val="single" w:space="0" w:color="D3D3D3"/>
                    <w:end w:val="single" w:space="0" w:color="D3D3D3"/>
                  </w:tcBorders>
                  <w:shd w:val="clear" w:color="auto" w:fill="FDD0BE"/>
                </w:tcPr>
                <w:p>
                  <w:pPr>
                    <w:spacing w:before="0" w:after="60"/>
                    <w:keepNext/>
                    <w:jc w:val="end"/>
                  </w:pPr>
                  <w:r>
                    <w:rPr>
                      <w:rFonts w:ascii="Calibri" w:hAnsi="Calibri"/>
                      <w:sz w:val="20"/>
                    </w:rPr>
                    <w:t xml:space="default">124.0</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139.1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110.1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Offshore trawl fishery age comps</w:t>
                  </w:r>
                </w:p>
              </w:tc>
              <w:tc>
                <w:tcPr>
                  <w:tcBorders>
                    <w:top w:val="single" w:space="0" w:color="D3D3D3"/>
                    <w:bottom w:val="single" w:space="0" w:color="D3D3D3"/>
                    <w:start w:val="single" w:space="0" w:color="D3D3D3"/>
                    <w:end w:val="single" w:space="0" w:color="D3D3D3"/>
                  </w:tcBorders>
                  <w:shd w:val="clear" w:color="auto" w:fill="FDCEBB"/>
                </w:tcPr>
                <w:p>
                  <w:pPr>
                    <w:spacing w:before="0" w:after="60"/>
                    <w:keepNext/>
                    <w:jc w:val="end"/>
                  </w:pPr>
                  <w:r>
                    <w:rPr>
                      <w:rFonts w:ascii="Calibri" w:hAnsi="Calibri"/>
                      <w:sz w:val="20"/>
                    </w:rPr>
                    <w:t xml:space="default">25.7</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26.5</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25.1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Fishery length compositions</w:t>
                  </w:r>
                </w:p>
              </w:tc>
              <w:tc>
                <w:tcPr>
                  <w:tcBorders>
                    <w:top w:val="single" w:space="0" w:color="D3D3D3"/>
                    <w:bottom w:val="single" w:space="0" w:color="D3D3D3"/>
                    <w:start w:val="single" w:space="0" w:color="D3D3D3"/>
                    <w:end w:val="single" w:space="0" w:color="D3D3D3"/>
                  </w:tcBorders>
                  <w:shd w:val="clear" w:color="auto" w:fill="FCB398"/>
                </w:tcPr>
                <w:p>
                  <w:pPr>
                    <w:spacing w:before="0" w:after="60"/>
                    <w:keepNext/>
                    <w:jc w:val="end"/>
                  </w:pPr>
                  <w:r>
                    <w:rPr>
                      <w:rFonts w:ascii="Calibri" w:hAnsi="Calibri"/>
                      <w:sz w:val="20"/>
                    </w:rPr>
                    <w:t xml:space="default">470.2</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608.9</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459.0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Fishery selectivity penalties</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329.7</w:t>
                  </w:r>
                </w:p>
              </w:tc>
              <w:tc>
                <w:tcPr>
                  <w:tcBorders>
                    <w:top w:val="single" w:space="0" w:color="D3D3D3"/>
                    <w:bottom w:val="single" w:space="0" w:color="D3D3D3"/>
                    <w:start w:val="single" w:space="0" w:color="D3D3D3"/>
                    <w:end w:val="single" w:space="0" w:color="D3D3D3"/>
                  </w:tcBorders>
                  <w:shd w:val="clear" w:color="auto" w:fill="FCB498"/>
                </w:tcPr>
                <w:p>
                  <w:pPr>
                    <w:spacing w:before="0" w:after="60"/>
                    <w:keepNext/>
                    <w:jc w:val="end"/>
                  </w:pPr>
                  <w:r>
                    <w:rPr>
                      <w:rFonts w:ascii="Calibri" w:hAnsi="Calibri"/>
                      <w:sz w:val="20"/>
                    </w:rPr>
                    <w:t xml:space="default">211.5</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201.4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Index likelihood</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130.6</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155.2</w:t>
                  </w:r>
                </w:p>
              </w:tc>
              <w:tc>
                <w:tcPr>
                  <w:tcBorders>
                    <w:top w:val="single" w:space="0" w:color="D3D3D3"/>
                    <w:bottom w:val="single" w:space="0" w:color="D3D3D3"/>
                    <w:start w:val="single" w:space="0" w:color="D3D3D3"/>
                    <w:end w:val="single" w:space="0" w:color="D3D3D3"/>
                  </w:tcBorders>
                  <w:shd w:val="clear" w:color="auto" w:fill="FCB89E"/>
                </w:tcPr>
                <w:p>
                  <w:pPr>
                    <w:spacing w:before="0" w:after="60"/>
                    <w:keepNext/>
                    <w:jc w:val="end"/>
                  </w:pPr>
                  <w:r>
                    <w:rPr>
                      <w:rFonts w:ascii="Calibri" w:hAnsi="Calibri"/>
                      <w:sz w:val="20"/>
                    </w:rPr>
                    <w:t xml:space="default">134.1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Chile acoustic North index</w:t>
                  </w:r>
                </w:p>
              </w:tc>
              <w:tc>
                <w:tcPr>
                  <w:tcBorders>
                    <w:top w:val="single" w:space="0" w:color="D3D3D3"/>
                    <w:bottom w:val="single" w:space="0" w:color="D3D3D3"/>
                    <w:start w:val="single" w:space="0" w:color="D3D3D3"/>
                    <w:end w:val="single" w:space="0" w:color="D3D3D3"/>
                  </w:tcBorders>
                  <w:shd w:val="clear" w:color="auto" w:fill="FCB398"/>
                </w:tcPr>
                <w:p>
                  <w:pPr>
                    <w:spacing w:before="0" w:after="60"/>
                    <w:keepNext/>
                    <w:jc w:val="end"/>
                  </w:pPr>
                  <w:r>
                    <w:rPr>
                      <w:rFonts w:ascii="Calibri" w:hAnsi="Calibri"/>
                      <w:sz w:val="20"/>
                    </w:rPr>
                    <w:t xml:space="default">73.2</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72.1</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88.0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Chile CPUE index</w:t>
                  </w:r>
                </w:p>
              </w:tc>
              <w:tc>
                <w:tcPr>
                  <w:tcBorders>
                    <w:top w:val="single" w:space="0" w:color="D3D3D3"/>
                    <w:bottom w:val="single" w:space="0" w:color="D3D3D3"/>
                    <w:start w:val="single" w:space="0" w:color="D3D3D3"/>
                    <w:end w:val="single" w:space="0" w:color="D3D3D3"/>
                  </w:tcBorders>
                  <w:shd w:val="clear" w:color="auto" w:fill="FCB69C"/>
                </w:tcPr>
                <w:p>
                  <w:pPr>
                    <w:spacing w:before="0" w:after="60"/>
                    <w:keepNext/>
                    <w:jc w:val="end"/>
                  </w:pPr>
                  <w:r>
                    <w:rPr>
                      <w:rFonts w:ascii="Calibri" w:hAnsi="Calibri"/>
                      <w:sz w:val="20"/>
                    </w:rPr>
                    <w:t xml:space="default">17.0</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20.4</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16.6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Peru CPUE index</w:t>
                  </w:r>
                </w:p>
              </w:tc>
              <w:tc>
                <w:tcPr>
                  <w:tcBorders>
                    <w:top w:val="single" w:space="0" w:color="D3D3D3"/>
                    <w:bottom w:val="single" w:space="0" w:color="D3D3D3"/>
                    <w:start w:val="single" w:space="0" w:color="D3D3D3"/>
                    <w:end w:val="single" w:space="0" w:color="D3D3D3"/>
                  </w:tcBorders>
                  <w:shd w:val="clear" w:color="auto" w:fill="FDC5B0"/>
                </w:tcPr>
                <w:p>
                  <w:pPr>
                    <w:spacing w:before="0" w:after="60"/>
                    <w:keepNext/>
                    <w:jc w:val="end"/>
                  </w:pPr>
                  <w:r>
                    <w:rPr>
                      <w:rFonts w:ascii="Calibri" w:hAnsi="Calibri"/>
                      <w:sz w:val="20"/>
                    </w:rPr>
                    <w:t xml:space="default">29.5</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50.8</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19.2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Offshore CPUE index</w:t>
                  </w:r>
                </w:p>
              </w:tc>
              <w:tc>
                <w:tcPr>
                  <w:tcBorders>
                    <w:top w:val="single" w:space="0" w:color="D3D3D3"/>
                    <w:bottom w:val="single" w:space="0" w:color="D3D3D3"/>
                    <w:start w:val="single" w:space="0" w:color="D3D3D3"/>
                    <w:end w:val="single" w:space="0" w:color="D3D3D3"/>
                  </w:tcBorders>
                  <w:shd w:val="clear" w:color="auto" w:fill="FDCAB6"/>
                </w:tcPr>
                <w:p>
                  <w:pPr>
                    <w:spacing w:before="0" w:after="60"/>
                    <w:keepNext/>
                    <w:jc w:val="end"/>
                  </w:pPr>
                  <w:r>
                    <w:rPr>
                      <w:rFonts w:ascii="Calibri" w:hAnsi="Calibri"/>
                      <w:sz w:val="20"/>
                    </w:rPr>
                    <w:t xml:space="default">10.9</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11.9</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10.3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Index age compositions</w:t>
                  </w:r>
                </w:p>
              </w:tc>
              <w:tc>
                <w:tcPr>
                  <w:tcBorders>
                    <w:top w:val="single" w:space="0" w:color="D3D3D3"/>
                    <w:bottom w:val="single" w:space="0" w:color="D3D3D3"/>
                    <w:start w:val="single" w:space="0" w:color="D3D3D3"/>
                    <w:end w:val="single" w:space="0" w:color="D3D3D3"/>
                  </w:tcBorders>
                  <w:shd w:val="clear" w:color="auto" w:fill="FCB59A"/>
                </w:tcPr>
                <w:p>
                  <w:pPr>
                    <w:spacing w:before="0" w:after="60"/>
                    <w:keepNext/>
                    <w:jc w:val="end"/>
                  </w:pPr>
                  <w:r>
                    <w:rPr>
                      <w:rFonts w:ascii="Calibri" w:hAnsi="Calibri"/>
                      <w:sz w:val="20"/>
                    </w:rPr>
                    <w:t xml:space="default">38.1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35.9</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60.0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Index selectivity penalties</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6.1</w:t>
                  </w:r>
                </w:p>
              </w:tc>
              <w:tc>
                <w:tcPr>
                  <w:tcBorders>
                    <w:top w:val="single" w:space="0" w:color="D3D3D3"/>
                    <w:bottom w:val="single" w:space="0" w:color="D3D3D3"/>
                    <w:start w:val="single" w:space="0" w:color="D3D3D3"/>
                    <w:end w:val="single" w:space="0" w:color="D3D3D3"/>
                  </w:tcBorders>
                  <w:shd w:val="clear" w:color="auto" w:fill="FFE9E0"/>
                </w:tcPr>
                <w:p>
                  <w:pPr>
                    <w:spacing w:before="0" w:after="60"/>
                    <w:keepNext/>
                    <w:jc w:val="end"/>
                  </w:pPr>
                  <w:r>
                    <w:rPr>
                      <w:rFonts w:ascii="Calibri" w:hAnsi="Calibri"/>
                      <w:sz w:val="20"/>
                    </w:rPr>
                    <w:t xml:space="default">5.3</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Recruitment term</w:t>
                  </w:r>
                </w:p>
              </w:tc>
              <w:tc>
                <w:tcPr>
                  <w:tcBorders>
                    <w:top w:val="single" w:space="0" w:color="D3D3D3"/>
                    <w:bottom w:val="single" w:space="0" w:color="D3D3D3"/>
                    <w:start w:val="single" w:space="0" w:color="D3D3D3"/>
                    <w:end w:val="single" w:space="0" w:color="D3D3D3"/>
                  </w:tcBorders>
                  <w:shd w:val="clear" w:color="auto" w:fill="FCB196"/>
                </w:tcPr>
                <w:p>
                  <w:pPr>
                    <w:spacing w:before="0" w:after="60"/>
                    <w:keepNext/>
                    <w:jc w:val="end"/>
                  </w:pPr>
                  <w:r>
                    <w:rPr>
                      <w:rFonts w:ascii="Calibri" w:hAnsi="Calibri"/>
                      <w:sz w:val="20"/>
                    </w:rPr>
                    <w:t xml:space="default">-3.9</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-4.5</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8.3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Fishing mortality penalty</w:t>
                  </w:r>
                </w:p>
              </w:tc>
              <w:tc>
                <w:tcPr>
                  <w:tcBorders>
                    <w:top w:val="single" w:space="0" w:color="D3D3D3"/>
                    <w:bottom w:val="single" w:space="0" w:color="D3D3D3"/>
                    <w:start w:val="single" w:space="0" w:color="D3D3D3"/>
                    <w:end w:val="single" w:space="0" w:color="D3D3D3"/>
                  </w:tcBorders>
                  <w:shd w:val="clear" w:color="auto" w:fill="FCB094"/>
                </w:tcPr>
                <w:p>
                  <w:pPr>
                    <w:spacing w:before="0" w:after="60"/>
                    <w:keepNext/>
                    <w:jc w:val="end"/>
                  </w:pPr>
                  <w:r>
                    <w:rPr>
                      <w:rFonts w:ascii="Calibri" w:hAnsi="Calibri"/>
                      <w:sz w:val="20"/>
                    </w:rPr>
                    <w:t xml:space="default">0.0</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0.0</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Index q priors</w:t>
                  </w:r>
                </w:p>
              </w:tc>
              <w:tc>
                <w:tcPr>
                  <w:tcBorders>
                    <w:top w:val="single" w:space="0" w:color="D3D3D3"/>
                    <w:bottom w:val="single" w:space="0" w:color="D3D3D3"/>
                    <w:start w:val="single" w:space="0" w:color="D3D3D3"/>
                    <w:end w:val="single" w:space="0" w:color="D3D3D3"/>
                  </w:tcBorders>
                  <w:shd w:val="clear" w:color="auto" w:fill="FEE3D8"/>
                </w:tcPr>
                <w:p>
                  <w:pPr>
                    <w:spacing w:before="0" w:after="60"/>
                    <w:keepNext/>
                    <w:jc w:val="end"/>
                  </w:pPr>
                  <w:r>
                    <w:rPr>
                      <w:rFonts w:ascii="Calibri" w:hAnsi="Calibri"/>
                      <w:sz w:val="20"/>
                    </w:rPr>
                    <w:t xml:space="default">0.1</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0.1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Residual term</w:t>
                  </w:r>
                </w:p>
              </w:tc>
              <w:tc>
                <w:tcPr>
                  <w:tcBorders>
                    <w:top w:val="single" w:space="0" w:color="D3D3D3"/>
                    <w:bottom w:val="single" w:space="0" w:color="D3D3D3"/>
                    <w:start w:val="single" w:space="0" w:color="D3D3D3"/>
                    <w:end w:val="single" w:space="0" w:color="D3D3D3"/>
                  </w:tcBorders>
                  <w:shd w:val="clear" w:color="auto" w:fill="FCB194"/>
                </w:tcPr>
                <w:p>
                  <w:pPr>
                    <w:spacing w:before="0" w:after="60"/>
                    <w:keepNext/>
                    <w:jc w:val="end"/>
                  </w:pPr>
                  <w:r>
                    <w:rPr>
                      <w:rFonts w:ascii="Calibri" w:hAnsi="Calibri"/>
                      <w:sz w:val="20"/>
                    </w:rPr>
                    <w:t xml:space="default">0.1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0.0</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0.2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Total negative log likelihood</w:t>
                  </w:r>
                </w:p>
              </w:tc>
              <w:tc>
                <w:tcPr>
                  <w:tcBorders>
                    <w:top w:val="single" w:space="0" w:color="D3D3D3"/>
                    <w:bottom w:val="single" w:space="0" w:color="D3D3D3"/>
                    <w:start w:val="single" w:space="0" w:color="D3D3D3"/>
                    <w:end w:val="single" w:space="0" w:color="D3D3D3"/>
                  </w:tcBorders>
                  <w:shd w:val="clear" w:color="auto" w:fill="FEDED1"/>
                </w:tcPr>
                <w:p>
                  <w:pPr>
                    <w:spacing w:before="0" w:after="60"/>
                    <w:keepNext/>
                    <w:jc w:val="end"/>
                  </w:pPr>
                  <w:r>
                    <w:rPr>
                      <w:rFonts w:ascii="Calibri" w:hAnsi="Calibri"/>
                      <w:sz w:val="20"/>
                    </w:rPr>
                    <w:t xml:space="default">1,234.7</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1,293.1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1,111.4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Estimated parameters (count)</w:t>
                  </w:r>
                </w:p>
              </w:tc>
              <w:tc>
                <w:tcPr>
                  <w:tcBorders>
                    <w:top w:val="single" w:space="0" w:color="D3D3D3"/>
                    <w:bottom w:val="single" w:space="0" w:color="D3D3D3"/>
                    <w:start w:val="single" w:space="0" w:color="D3D3D3"/>
                    <w:end w:val="single" w:space="0" w:color="D3D3D3"/>
                  </w:tcBorders>
                  <w:shd w:val="clear" w:color="auto" w:fill="FFF5F0"/>
                </w:tcPr>
                <w:p>
                  <w:pPr>
                    <w:spacing w:before="0" w:after="60"/>
                    <w:keepNext/>
                    <w:jc w:val="end"/>
                  </w:pPr>
                  <w:r>
                    <w:rPr>
                      <w:rFonts w:ascii="Calibri" w:hAnsi="Calibri"/>
                      <w:sz w:val="20"/>
                    </w:rPr>
                    <w:t xml:space="default">1,821</w:t>
                  </w:r>
                </w:p>
              </w:tc>
              <w:tc>
                <w:tcPr>
                  <w:tcBorders>
                    <w:top w:val="single" w:space="0" w:color="D3D3D3"/>
                    <w:bottom w:val="single" w:space="0" w:color="D3D3D3"/>
                    <w:start w:val="single" w:space="0" w:color="D3D3D3"/>
                    <w:end w:val="single" w:space="0" w:color="D3D3D3"/>
                  </w:tcBorders>
                  <w:shd w:val="clear" w:color="auto" w:fill="FCAE91"/>
                </w:tcPr>
                <w:p>
                  <w:pPr>
                    <w:spacing w:before="0" w:after="60"/>
                    <w:keepNext/>
                    <w:jc w:val="end"/>
                  </w:pPr>
                  <w:r>
                    <w:rPr>
                      <w:rFonts w:ascii="Calibri" w:hAnsi="Calibri"/>
                      <w:sz w:val="20"/>
                    </w:rPr>
                    <w:t xml:space="default">1,513</w:t>
                  </w:r>
                </w:p>
              </w:tc>
              <w:tc>
                <w:tcPr>
                  <w:tcBorders>
                    <w:top w:val="single" w:space="0" w:color="D3D3D3"/>
                    <w:bottom w:val="single" w:space="0" w:color="D3D3D3"/>
                    <w:start w:val="single" w:space="0" w:color="D3D3D3"/>
                    <w:end w:val="single" w:space="0" w:color="D3D3D3"/>
                  </w:tcBorders>
                  <w:shd w:val="clear" w:color="auto" w:fill="FDC3AD"/>
                </w:tcPr>
                <w:p>
                  <w:pPr>
                    <w:spacing w:before="0" w:after="60"/>
                    <w:keepNext/>
                    <w:jc w:val="end"/>
                  </w:pPr>
                  <w:r>
                    <w:rPr>
                      <w:rFonts w:ascii="Calibri" w:hAnsi="Calibri"/>
                      <w:sz w:val="20"/>
                    </w:rPr>
                    <w:t xml:space="default">1,604</w:t>
                  </w:r>
                </w:p>
              </w:tc>
            </w:tr>
          </w:tbl>
          <w:bookmarkEnd w:id="111"/>
        </w:tc>
      </w:tr>
    </w:tbl>
    <w:p>
      <w:pPr>
        <w:pStyle w:val="BodyText"/>
      </w:pPr>
      <w:r>
        <w:rPr>
          <w:b/>
          <w:bCs/>
        </w:rPr>
        <w:t xml:space="preserve">83.</w:t>
      </w:r>
      <w:r>
        <w:t xml:space="preserve"> </w:t>
      </w:r>
      <w:r>
        <w:t xml:space="preserve">The retained comparable index fits for these harmonized models are shown in</w:t>
      </w:r>
      <w:r>
        <w:t xml:space="preserve"> </w:t>
      </w:r>
      <w:hyperlink w:anchor="fig-harmonized-index-fits">
        <w:r>
          <w:rPr>
            <w:rStyle w:val="Hyperlink"/>
          </w:rPr>
          <w:t xml:space="preserve">Figure 13</w:t>
        </w:r>
      </w:hyperlink>
      <w:r>
        <w:t xml:space="preserve">. Relative to</w:t>
      </w:r>
      <w:r>
        <w:t xml:space="preserve"> </w:t>
      </w:r>
      <w:r>
        <w:rPr>
          <w:rStyle w:val="VerbatimChar"/>
        </w:rPr>
        <w:t xml:space="preserve">h1_2.00</w:t>
      </w:r>
      <w:r>
        <w:t xml:space="preserve">, the single-stock harmonized variant</w:t>
      </w:r>
      <w:r>
        <w:t xml:space="preserve"> </w:t>
      </w:r>
      <w:r>
        <w:rPr>
          <w:rStyle w:val="VerbatimChar"/>
        </w:rPr>
        <w:t xml:space="preserve">h1_2.02</w:t>
      </w:r>
      <w:r>
        <w:t xml:space="preserve"> </w:t>
      </w:r>
      <w:r>
        <w:t xml:space="preserve">changes little in the South-Central Chile CPUE, Peru CPUE, and Offshore CPUE panels, while the two-stock harmonized variant</w:t>
      </w:r>
      <w:r>
        <w:t xml:space="preserve"> </w:t>
      </w:r>
      <w:r>
        <w:rPr>
          <w:rStyle w:val="VerbatimChar"/>
        </w:rPr>
        <w:t xml:space="preserve">h2_2.02</w:t>
      </w:r>
      <w:r>
        <w:t xml:space="preserve"> </w:t>
      </w:r>
      <w:r>
        <w:t xml:space="preserve">differs more clearly in the Acoustic North fit and in parts of the Chile CPUE trajectory.</w:t>
      </w:r>
    </w:p>
    <w:tbl>
      <w:tblPr>
        <w:tblStyle w:val="Table"/>
        <w:tblW w:type="pct" w:w="5000"/>
        <w:tblLayout w:type="fixed"/>
        <w:tblLook w:firstRow="0" w:lastRow="0" w:firstColumn="0" w:lastColumn="0" w:noHBand="0" w:noVBand="0" w:val="0000"/>
      </w:tblPr>
      <w:tblGrid>
        <w:gridCol w:w="7920"/>
      </w:tblGrid>
      <w:tr>
        <w:tc>
          <w:tcPr/>
          <w:bookmarkStart w:id="115" w:name="fig-harmonized-index-fits"/>
          <w:p>
            <w:pPr>
              <w:pStyle w:val="Compact"/>
              <w:jc w:val="center"/>
            </w:pPr>
            <w:r>
              <w:drawing>
                <wp:inline>
                  <wp:extent cx="5334000" cy="4333875"/>
                  <wp:effectExtent b="0" l="0" r="0" t="0"/>
                  <wp:docPr descr="" title="" id="113" name="Picture"/>
                  <a:graphic>
                    <a:graphicData uri="http://schemas.openxmlformats.org/drawingml/2006/picture">
                      <pic:pic>
                        <pic:nvPicPr>
                          <pic:cNvPr descr="SCW16-Paper-01_files/figure-docx/fig-harmonized-index-fits-1.png" id="114" name="Picture"/>
                          <pic:cNvPicPr>
                            <a:picLocks noChangeArrowheads="1" noChangeAspect="1"/>
                          </pic:cNvPicPr>
                        </pic:nvPicPr>
                        <pic:blipFill>
                          <a:blip r:embed="rId112"/>
                          <a:stretch>
                            <a:fillRect/>
                          </a:stretch>
                        </pic:blipFill>
                        <pic:spPr bwMode="auto">
                          <a:xfrm>
                            <a:off x="0" y="0"/>
                            <a:ext cx="5334000" cy="4333875"/>
                          </a:xfrm>
                          <a:prstGeom prst="rect">
                            <a:avLst/>
                          </a:prstGeom>
                          <a:noFill/>
                          <a:ln w="9525">
                            <a:noFill/>
                            <a:headEnd/>
                            <a:tailEnd/>
                          </a:ln>
                        </pic:spPr>
                      </pic:pic>
                    </a:graphicData>
                  </a:graphic>
                </wp:inline>
              </w:drawing>
            </w:r>
          </w:p>
          <w:p>
            <w:pPr>
              <w:jc w:val="center"/>
            </w:pPr>
            <w:pPr>
              <w:jc w:val="left"/>
              <w:spacing w:before="200"/>
              <w:pStyle w:val="ImageCaption"/>
            </w:pPr>
            <w:r>
              <w:t xml:space="preserve">Figure 13: Observed and fitted index trajectories for</w:t>
            </w:r>
            <w:r>
              <w:t xml:space="preserve"> </w:t>
            </w:r>
            <w:r>
              <w:rPr>
                <w:rStyle w:val="VerbatimChar"/>
              </w:rPr>
              <w:t xml:space="preserve">h1_2.00</w:t>
            </w:r>
            <w:r>
              <w:t xml:space="preserve">,</w:t>
            </w:r>
            <w:r>
              <w:t xml:space="preserve"> </w:t>
            </w:r>
            <w:r>
              <w:rPr>
                <w:rStyle w:val="VerbatimChar"/>
              </w:rPr>
              <w:t xml:space="preserve">h1_2.02</w:t>
            </w:r>
            <w:r>
              <w:t xml:space="preserve">, and</w:t>
            </w:r>
            <w:r>
              <w:t xml:space="preserve"> </w:t>
            </w:r>
            <w:r>
              <w:rPr>
                <w:rStyle w:val="VerbatimChar"/>
              </w:rPr>
              <w:t xml:space="preserve">h2_2.02</w:t>
            </w:r>
            <w:r>
              <w:t xml:space="preserve">. Panels show the retained comparable index series: South-Central Chile CPUE, Acoustic North, Peruvian CPUE, and Offshore CPUE.</w:t>
            </w:r>
          </w:p>
          <w:bookmarkEnd w:id="115"/>
        </w:tc>
      </w:tr>
    </w:tbl>
    <w:p>
      <w:pPr>
        <w:pStyle w:val="BodyText"/>
      </w:pPr>
      <w:r>
        <w:rPr>
          <w:b/>
          <w:bCs/>
        </w:rPr>
        <w:t xml:space="preserve">84.</w:t>
      </w:r>
      <w:r>
        <w:t xml:space="preserve"> </w:t>
      </w:r>
      <w:r>
        <w:t xml:space="preserve">To complement the likelihood and retained-index diagnostics,</w:t>
      </w:r>
      <w:r>
        <w:t xml:space="preserve"> </w:t>
      </w:r>
      <w:hyperlink w:anchor="fig-harmonized-ssb">
        <w:r>
          <w:rPr>
            <w:rStyle w:val="Hyperlink"/>
          </w:rPr>
          <w:t xml:space="preserve">Figure 14</w:t>
        </w:r>
      </w:hyperlink>
      <w:r>
        <w:t xml:space="preserve"> </w:t>
      </w:r>
      <w:r>
        <w:t xml:space="preserve">and</w:t>
      </w:r>
      <w:r>
        <w:t xml:space="preserve"> </w:t>
      </w:r>
      <w:hyperlink w:anchor="fig-harmonized-rec">
        <w:r>
          <w:rPr>
            <w:rStyle w:val="Hyperlink"/>
          </w:rPr>
          <w:t xml:space="preserve">Figure 15</w:t>
        </w:r>
      </w:hyperlink>
      <w:r>
        <w:t xml:space="preserve"> </w:t>
      </w:r>
      <w:r>
        <w:t xml:space="preserve">compare the fitted system-level spawning biomass and recruitment</w:t>
      </w:r>
      <w:r>
        <w:t xml:space="preserve"> </w:t>
      </w:r>
      <w:r>
        <w:t xml:space="preserve">trajectories across the same three models. For</w:t>
      </w:r>
      <w:r>
        <w:t xml:space="preserve"> </w:t>
      </w:r>
      <w:r>
        <w:rPr>
          <w:rStyle w:val="VerbatimChar"/>
        </w:rPr>
        <w:t xml:space="preserve">h2_2.02</w:t>
      </w:r>
      <w:r>
        <w:t xml:space="preserve">, the plotted values are the sum</w:t>
      </w:r>
      <w:r>
        <w:t xml:space="preserve"> </w:t>
      </w:r>
      <w:r>
        <w:t xml:space="preserve">across the two modeled stocks so that the trajectories are directly comparable with</w:t>
      </w:r>
      <w:r>
        <w:t xml:space="preserve"> </w:t>
      </w:r>
      <w:r>
        <w:t xml:space="preserve">the single-stock runs.</w:t>
      </w:r>
    </w:p>
    <w:tbl>
      <w:tblPr>
        <w:tblStyle w:val="Table"/>
        <w:tblW w:type="pct" w:w="5000"/>
        <w:tblLayout w:type="fixed"/>
        <w:tblLook w:firstRow="0" w:lastRow="0" w:firstColumn="0" w:lastColumn="0" w:noHBand="0" w:noVBand="0" w:val="0000"/>
      </w:tblPr>
      <w:tblGrid>
        <w:gridCol w:w="7920"/>
      </w:tblGrid>
      <w:tr>
        <w:tc>
          <w:tcPr/>
          <w:bookmarkStart w:id="119" w:name="fig-harmonized-ssb"/>
          <w:p>
            <w:pPr>
              <w:pStyle w:val="Compact"/>
              <w:jc w:val="center"/>
            </w:pPr>
            <w:r>
              <w:drawing>
                <wp:inline>
                  <wp:extent cx="5334000" cy="3194843"/>
                  <wp:effectExtent b="0" l="0" r="0" t="0"/>
                  <wp:docPr descr="" title="" id="117" name="Picture"/>
                  <a:graphic>
                    <a:graphicData uri="http://schemas.openxmlformats.org/drawingml/2006/picture">
                      <pic:pic>
                        <pic:nvPicPr>
                          <pic:cNvPr descr="SCW16-Paper-01_files/figure-docx/fig-harmonized-ssb-1.png" id="118" name="Picture"/>
                          <pic:cNvPicPr>
                            <a:picLocks noChangeArrowheads="1" noChangeAspect="1"/>
                          </pic:cNvPicPr>
                        </pic:nvPicPr>
                        <pic:blipFill>
                          <a:blip r:embed="rId116"/>
                          <a:stretch>
                            <a:fillRect/>
                          </a:stretch>
                        </pic:blipFill>
                        <pic:spPr bwMode="auto">
                          <a:xfrm>
                            <a:off x="0" y="0"/>
                            <a:ext cx="5334000" cy="3194843"/>
                          </a:xfrm>
                          <a:prstGeom prst="rect">
                            <a:avLst/>
                          </a:prstGeom>
                          <a:noFill/>
                          <a:ln w="9525">
                            <a:noFill/>
                            <a:headEnd/>
                            <a:tailEnd/>
                          </a:ln>
                        </pic:spPr>
                      </pic:pic>
                    </a:graphicData>
                  </a:graphic>
                </wp:inline>
              </w:drawing>
            </w:r>
          </w:p>
          <w:p>
            <w:pPr>
              <w:jc w:val="center"/>
            </w:pPr>
            <w:pPr>
              <w:jc w:val="left"/>
              <w:spacing w:before="200"/>
              <w:pStyle w:val="ImageCaption"/>
            </w:pPr>
            <w:r>
              <w:t xml:space="preserve">Figure 14: System-level spawning biomass trajectories for</w:t>
            </w:r>
            <w:r>
              <w:t xml:space="preserve"> </w:t>
            </w:r>
            <w:r>
              <w:rPr>
                <w:rStyle w:val="VerbatimChar"/>
              </w:rPr>
              <w:t xml:space="preserve">h1_2.00</w:t>
            </w:r>
            <w:r>
              <w:t xml:space="preserve">,</w:t>
            </w:r>
            <w:r>
              <w:t xml:space="preserve"> </w:t>
            </w:r>
            <w:r>
              <w:rPr>
                <w:rStyle w:val="VerbatimChar"/>
              </w:rPr>
              <w:t xml:space="preserve">h1_2.02</w:t>
            </w:r>
            <w:r>
              <w:t xml:space="preserve">, and</w:t>
            </w:r>
            <w:r>
              <w:t xml:space="preserve"> </w:t>
            </w:r>
            <w:r>
              <w:rPr>
                <w:rStyle w:val="VerbatimChar"/>
              </w:rPr>
              <w:t xml:space="preserve">h2_2.02</w:t>
            </w:r>
            <w:r>
              <w:t xml:space="preserve">. For</w:t>
            </w:r>
            <w:r>
              <w:t xml:space="preserve"> </w:t>
            </w:r>
            <w:r>
              <w:rPr>
                <w:rStyle w:val="VerbatimChar"/>
              </w:rPr>
              <w:t xml:space="preserve">h2_2.02</w:t>
            </w:r>
            <w:r>
              <w:t xml:space="preserve">, values are the sum of stock-1 and stock-2 spawning biomass.</w:t>
            </w:r>
          </w:p>
          <w:bookmarkEnd w:id="119"/>
        </w:tc>
      </w:tr>
    </w:tbl>
    <w:tbl>
      <w:tblPr>
        <w:tblStyle w:val="Table"/>
        <w:tblW w:type="pct" w:w="5000"/>
        <w:tblLayout w:type="fixed"/>
        <w:tblLook w:firstRow="0" w:lastRow="0" w:firstColumn="0" w:lastColumn="0" w:noHBand="0" w:noVBand="0" w:val="0000"/>
      </w:tblPr>
      <w:tblGrid>
        <w:gridCol w:w="7920"/>
      </w:tblGrid>
      <w:tr>
        <w:tc>
          <w:tcPr/>
          <w:bookmarkStart w:id="123" w:name="fig-harmonized-rec"/>
          <w:p>
            <w:pPr>
              <w:pStyle w:val="Compact"/>
              <w:jc w:val="center"/>
            </w:pPr>
            <w:r>
              <w:drawing>
                <wp:inline>
                  <wp:extent cx="5334000" cy="3194843"/>
                  <wp:effectExtent b="0" l="0" r="0" t="0"/>
                  <wp:docPr descr="" title="" id="121" name="Picture"/>
                  <a:graphic>
                    <a:graphicData uri="http://schemas.openxmlformats.org/drawingml/2006/picture">
                      <pic:pic>
                        <pic:nvPicPr>
                          <pic:cNvPr descr="SCW16-Paper-01_files/figure-docx/fig-harmonized-rec-1.png" id="122" name="Picture"/>
                          <pic:cNvPicPr>
                            <a:picLocks noChangeArrowheads="1" noChangeAspect="1"/>
                          </pic:cNvPicPr>
                        </pic:nvPicPr>
                        <pic:blipFill>
                          <a:blip r:embed="rId120"/>
                          <a:stretch>
                            <a:fillRect/>
                          </a:stretch>
                        </pic:blipFill>
                        <pic:spPr bwMode="auto">
                          <a:xfrm>
                            <a:off x="0" y="0"/>
                            <a:ext cx="5334000" cy="3194843"/>
                          </a:xfrm>
                          <a:prstGeom prst="rect">
                            <a:avLst/>
                          </a:prstGeom>
                          <a:noFill/>
                          <a:ln w="9525">
                            <a:noFill/>
                            <a:headEnd/>
                            <a:tailEnd/>
                          </a:ln>
                        </pic:spPr>
                      </pic:pic>
                    </a:graphicData>
                  </a:graphic>
                </wp:inline>
              </w:drawing>
            </w:r>
          </w:p>
          <w:p>
            <w:pPr>
              <w:jc w:val="center"/>
            </w:pPr>
            <w:pPr>
              <w:jc w:val="left"/>
              <w:spacing w:before="200"/>
              <w:pStyle w:val="ImageCaption"/>
            </w:pPr>
            <w:r>
              <w:t xml:space="preserve">Figure 15: System-level recruitment trajectories for</w:t>
            </w:r>
            <w:r>
              <w:t xml:space="preserve"> </w:t>
            </w:r>
            <w:r>
              <w:rPr>
                <w:rStyle w:val="VerbatimChar"/>
              </w:rPr>
              <w:t xml:space="preserve">h1_2.00</w:t>
            </w:r>
            <w:r>
              <w:t xml:space="preserve">,</w:t>
            </w:r>
            <w:r>
              <w:t xml:space="preserve"> </w:t>
            </w:r>
            <w:r>
              <w:rPr>
                <w:rStyle w:val="VerbatimChar"/>
              </w:rPr>
              <w:t xml:space="preserve">h1_2.02</w:t>
            </w:r>
            <w:r>
              <w:t xml:space="preserve">, and</w:t>
            </w:r>
            <w:r>
              <w:t xml:space="preserve"> </w:t>
            </w:r>
            <w:r>
              <w:rPr>
                <w:rStyle w:val="VerbatimChar"/>
              </w:rPr>
              <w:t xml:space="preserve">h2_2.02</w:t>
            </w:r>
            <w:r>
              <w:t xml:space="preserve">. For</w:t>
            </w:r>
            <w:r>
              <w:t xml:space="preserve"> </w:t>
            </w:r>
            <w:r>
              <w:rPr>
                <w:rStyle w:val="VerbatimChar"/>
              </w:rPr>
              <w:t xml:space="preserve">h2_2.02</w:t>
            </w:r>
            <w:r>
              <w:t xml:space="preserve">, values are the sum of stock-1 and stock-2 recruitment.</w:t>
            </w:r>
          </w:p>
          <w:bookmarkEnd w:id="123"/>
        </w:tc>
      </w:tr>
    </w:tbl>
    <w:bookmarkEnd w:id="124"/>
    <w:bookmarkStart w:id="139" w:name="simplified-recruitment-alternatives"/>
    <w:p>
      <w:pPr>
        <w:pStyle w:val="Heading2"/>
      </w:pPr>
      <w:r>
        <w:t xml:space="preserve">6.4 Simplified Recruitment Alternatives</w:t>
      </w:r>
    </w:p>
    <w:p>
      <w:pPr>
        <w:pStyle w:val="FirstParagraph"/>
      </w:pPr>
      <w:r>
        <w:rPr>
          <w:b/>
          <w:bCs/>
        </w:rPr>
        <w:t xml:space="preserve">85.</w:t>
      </w:r>
      <w:r>
        <w:t xml:space="preserve"> </w:t>
      </w:r>
      <w:r>
        <w:rPr>
          <w:highlight w:val="yellow"/>
        </w:rPr>
        <w:t xml:space="preserve">Another option is to reduce recruitment complexity by using one recruitment</w:t>
      </w:r>
      <w:r>
        <w:rPr>
          <w:highlight w:val="yellow"/>
        </w:rPr>
        <w:t xml:space="preserve"> </w:t>
      </w:r>
      <w:r>
        <w:rPr>
          <w:highlight w:val="yellow"/>
        </w:rPr>
        <w:t xml:space="preserve">relationship per stock hypothesis, or one per stock under the two-stock model.</w:t>
      </w:r>
      <w:r>
        <w:rPr>
          <w:highlight w:val="yellow"/>
        </w:rPr>
        <w:t xml:space="preserve"> </w:t>
      </w:r>
      <w:r>
        <w:rPr>
          <w:highlight w:val="yellow"/>
        </w:rPr>
        <w:t xml:space="preserve">For the Far North, however, this simplification needs to be evaluated against</w:t>
      </w:r>
      <w:r>
        <w:rPr>
          <w:highlight w:val="yellow"/>
        </w:rPr>
        <w:t xml:space="preserve"> </w:t>
      </w:r>
      <w:r>
        <w:rPr>
          <w:highlight w:val="yellow"/>
        </w:rPr>
        <w:t xml:space="preserve">the evidence for a late-1990s productivity shift in the northern Humboldt</w:t>
      </w:r>
      <w:r>
        <w:rPr>
          <w:highlight w:val="yellow"/>
        </w:rPr>
        <w:t xml:space="preserve"> </w:t>
      </w:r>
      <w:r>
        <w:rPr>
          <w:highlight w:val="yellow"/>
        </w:rPr>
        <w:t xml:space="preserve">Current system. The current</w:t>
      </w:r>
      <w:r>
        <w:rPr>
          <w:highlight w:val="yellow"/>
        </w:rPr>
        <w:t xml:space="preserve"> </w:t>
      </w:r>
      <w:r>
        <w:rPr>
          <w:rStyle w:val="VerbatimChar"/>
          <w:highlight w:val="yellow"/>
        </w:rPr>
        <w:t xml:space="preserve">h2</w:t>
      </w:r>
      <w:r>
        <w:rPr>
          <w:highlight w:val="yellow"/>
        </w:rPr>
        <w:t xml:space="preserve"> </w:t>
      </w:r>
      <w:r>
        <w:rPr>
          <w:highlight w:val="yellow"/>
        </w:rPr>
        <w:t xml:space="preserve">assessment structure already treats the</w:t>
      </w:r>
      <w:r>
        <w:rPr>
          <w:highlight w:val="yellow"/>
        </w:rPr>
        <w:t xml:space="preserve"> </w:t>
      </w:r>
      <w:r>
        <w:rPr>
          <w:highlight w:val="yellow"/>
        </w:rPr>
        <w:t xml:space="preserve">northern component as having a recruitment-regime shift near 1999, and that</w:t>
      </w:r>
      <w:r>
        <w:rPr>
          <w:highlight w:val="yellow"/>
        </w:rPr>
        <w:t xml:space="preserve"> </w:t>
      </w:r>
      <w:r>
        <w:rPr>
          <w:highlight w:val="yellow"/>
        </w:rPr>
        <w:t xml:space="preserve">feature is not only a statistical convenience in the control file. It is also</w:t>
      </w:r>
      <w:r>
        <w:rPr>
          <w:highlight w:val="yellow"/>
        </w:rPr>
        <w:t xml:space="preserve"> </w:t>
      </w:r>
      <w:r>
        <w:rPr>
          <w:highlight w:val="yellow"/>
        </w:rPr>
        <w:t xml:space="preserve">consistent with a broader ecosystem interpretation in which jack mackerel</w:t>
      </w:r>
      <w:r>
        <w:rPr>
          <w:highlight w:val="yellow"/>
        </w:rPr>
        <w:t xml:space="preserve"> </w:t>
      </w:r>
      <w:r>
        <w:rPr>
          <w:highlight w:val="yellow"/>
        </w:rPr>
        <w:t xml:space="preserve">productivity off Peru changed between the late 1990s and early 2000s.</w:t>
      </w:r>
    </w:p>
    <w:p>
      <w:pPr>
        <w:pStyle w:val="BodyText"/>
      </w:pPr>
      <w:r>
        <w:rPr>
          <w:b/>
          <w:bCs/>
        </w:rPr>
        <w:t xml:space="preserve">86.</w:t>
      </w:r>
      <w:r>
        <w:t xml:space="preserve"> </w:t>
      </w:r>
      <w:r>
        <w:rPr>
          <w:highlight w:val="yellow"/>
        </w:rPr>
        <w:t xml:space="preserve">Several independent lines of evidence support treating this as a structural</w:t>
      </w:r>
      <w:r>
        <w:rPr>
          <w:highlight w:val="yellow"/>
        </w:rPr>
        <w:t xml:space="preserve"> </w:t>
      </w:r>
      <w:r>
        <w:rPr>
          <w:highlight w:val="yellow"/>
        </w:rPr>
        <w:t xml:space="preserve">axis for the Far North operating model. Regime shifts have been documented in</w:t>
      </w:r>
      <w:r>
        <w:rPr>
          <w:highlight w:val="yellow"/>
        </w:rPr>
        <w:t xml:space="preserve"> </w:t>
      </w:r>
      <w:r>
        <w:rPr>
          <w:highlight w:val="yellow"/>
        </w:rPr>
        <w:t xml:space="preserve">the Humboldt Current ecosystem</w:t>
      </w:r>
      <w:r>
        <w:rPr>
          <w:highlight w:val="yellow"/>
        </w:rPr>
        <w:t xml:space="preserve"> </w:t>
      </w:r>
      <w:r>
        <w:rPr>
          <w:highlight w:val="yellow"/>
        </w:rPr>
        <w:t xml:space="preserve">(Alheit &amp; Niquen, 2004)</w:t>
      </w:r>
      <w:r>
        <w:rPr>
          <w:highlight w:val="yellow"/>
        </w:rPr>
        <w:t xml:space="preserve">, and a broader Pacific</w:t>
      </w:r>
      <w:r>
        <w:rPr>
          <w:highlight w:val="yellow"/>
        </w:rPr>
        <w:t xml:space="preserve"> </w:t>
      </w:r>
      <w:r>
        <w:rPr>
          <w:highlight w:val="yellow"/>
        </w:rPr>
        <w:t xml:space="preserve">climate and productivity transition around the 1997-1998 El Niño has been</w:t>
      </w:r>
      <w:r>
        <w:rPr>
          <w:highlight w:val="yellow"/>
        </w:rPr>
        <w:t xml:space="preserve"> </w:t>
      </w:r>
      <w:r>
        <w:rPr>
          <w:highlight w:val="yellow"/>
        </w:rPr>
        <w:t xml:space="preserve">described from sea-surface-temperature and production patterns</w:t>
      </w:r>
      <w:r>
        <w:rPr>
          <w:highlight w:val="yellow"/>
        </w:rPr>
        <w:t xml:space="preserve"> </w:t>
      </w:r>
      <w:r>
        <w:rPr>
          <w:highlight w:val="yellow"/>
        </w:rPr>
        <w:t xml:space="preserve">(Chavez et al., 2011)</w:t>
      </w:r>
      <w:r>
        <w:rPr>
          <w:highlight w:val="yellow"/>
        </w:rPr>
        <w:t xml:space="preserve">.</w:t>
      </w:r>
      <w:r>
        <w:rPr>
          <w:highlight w:val="yellow"/>
        </w:rPr>
        <w:t xml:space="preserve"> </w:t>
      </w:r>
      <w:r>
        <w:rPr>
          <w:highlight w:val="yellow"/>
        </w:rPr>
        <w:t xml:space="preserve">Long-term diet and condition data for jack mackerel and chub mackerel off Peru</w:t>
      </w:r>
      <w:r>
        <w:rPr>
          <w:highlight w:val="yellow"/>
        </w:rPr>
        <w:t xml:space="preserve"> </w:t>
      </w:r>
      <w:r>
        <w:rPr>
          <w:highlight w:val="yellow"/>
        </w:rPr>
        <w:t xml:space="preserve">also indicate a shift around 1999-2000, including lower stomach fullness after</w:t>
      </w:r>
      <w:r>
        <w:rPr>
          <w:highlight w:val="yellow"/>
        </w:rPr>
        <w:t xml:space="preserve"> </w:t>
      </w:r>
      <w:r>
        <w:rPr>
          <w:highlight w:val="yellow"/>
        </w:rPr>
        <w:t xml:space="preserve">1999 and a marked increase in diet diversity during the subsequent cooler,</w:t>
      </w:r>
      <w:r>
        <w:rPr>
          <w:highlight w:val="yellow"/>
        </w:rPr>
        <w:t xml:space="preserve"> </w:t>
      </w:r>
      <w:r>
        <w:rPr>
          <w:highlight w:val="yellow"/>
        </w:rPr>
        <w:t xml:space="preserve">more productive period</w:t>
      </w:r>
      <w:r>
        <w:rPr>
          <w:highlight w:val="yellow"/>
        </w:rPr>
        <w:t xml:space="preserve"> </w:t>
      </w:r>
      <w:r>
        <w:rPr>
          <w:highlight w:val="yellow"/>
        </w:rPr>
        <w:t xml:space="preserve">(Alegre et al., 2015)</w:t>
      </w:r>
      <w:r>
        <w:rPr>
          <w:highlight w:val="yellow"/>
        </w:rPr>
        <w:t xml:space="preserve">. Other northern Humboldt analyses</w:t>
      </w:r>
      <w:r>
        <w:rPr>
          <w:highlight w:val="yellow"/>
        </w:rPr>
        <w:t xml:space="preserve"> </w:t>
      </w:r>
      <w:r>
        <w:rPr>
          <w:highlight w:val="yellow"/>
        </w:rPr>
        <w:t xml:space="preserve">identify related ecosystem changes in zooplankton biomass, taxon richness,</w:t>
      </w:r>
      <w:r>
        <w:rPr>
          <w:highlight w:val="yellow"/>
        </w:rPr>
        <w:t xml:space="preserve"> </w:t>
      </w:r>
      <w:r>
        <w:rPr>
          <w:highlight w:val="yellow"/>
        </w:rPr>
        <w:t xml:space="preserve">species composition, oxygen, productivity, and large-scale climate associations</w:t>
      </w:r>
      <w:r>
        <w:rPr>
          <w:highlight w:val="yellow"/>
        </w:rPr>
        <w:t xml:space="preserve"> </w:t>
      </w:r>
      <w:r>
        <w:rPr>
          <w:highlight w:val="yellow"/>
        </w:rPr>
        <w:t xml:space="preserve">(Arones et al., 2019; Bertrand et al., 2011; Espino, 2013; Gutiérrez et al., 2011; Moron Correa, 2017)</w:t>
      </w:r>
      <w:r>
        <w:rPr>
          <w:highlight w:val="yellow"/>
        </w:rPr>
        <w:t xml:space="preserve">.</w:t>
      </w:r>
    </w:p>
    <w:p>
      <w:pPr>
        <w:pStyle w:val="BodyText"/>
      </w:pPr>
      <w:r>
        <w:rPr>
          <w:b/>
          <w:bCs/>
        </w:rPr>
        <w:t xml:space="preserve">87.</w:t>
      </w:r>
      <w:r>
        <w:t xml:space="preserve"> </w:t>
      </w:r>
      <w:r>
        <w:rPr>
          <w:highlight w:val="yellow"/>
        </w:rPr>
        <w:t xml:space="preserve">The practical implication for TG-03 is that a two-regime Far North recruitment</w:t>
      </w:r>
      <w:r>
        <w:rPr>
          <w:highlight w:val="yellow"/>
        </w:rPr>
        <w:t xml:space="preserve"> </w:t>
      </w:r>
      <w:r>
        <w:rPr>
          <w:highlight w:val="yellow"/>
        </w:rPr>
        <w:t xml:space="preserve">configuration, approximately pre- and post-1999, should remain part of the</w:t>
      </w:r>
      <w:r>
        <w:rPr>
          <w:highlight w:val="yellow"/>
        </w:rPr>
        <w:t xml:space="preserve"> </w:t>
      </w:r>
      <w:r>
        <w:rPr>
          <w:highlight w:val="yellow"/>
        </w:rPr>
        <w:t xml:space="preserve">benchmark operating-model reference set. More complex covariate-driven</w:t>
      </w:r>
      <w:r>
        <w:rPr>
          <w:highlight w:val="yellow"/>
        </w:rPr>
        <w:t xml:space="preserve"> </w:t>
      </w:r>
      <w:r>
        <w:rPr>
          <w:highlight w:val="yellow"/>
        </w:rPr>
        <w:t xml:space="preserve">formulations could still be treated as later robustness cases, but collapsing</w:t>
      </w:r>
      <w:r>
        <w:rPr>
          <w:highlight w:val="yellow"/>
        </w:rPr>
        <w:t xml:space="preserve"> </w:t>
      </w:r>
      <w:r>
        <w:rPr>
          <w:highlight w:val="yellow"/>
        </w:rPr>
        <w:t xml:space="preserve">the Far North to a single productivity regime risks smoothing over the</w:t>
      </w:r>
      <w:r>
        <w:rPr>
          <w:highlight w:val="yellow"/>
        </w:rPr>
        <w:t xml:space="preserve"> </w:t>
      </w:r>
      <w:r>
        <w:rPr>
          <w:highlight w:val="yellow"/>
        </w:rPr>
        <w:t xml:space="preserve">structure most relevant to recent stock perception and reference-point</w:t>
      </w:r>
      <w:r>
        <w:rPr>
          <w:highlight w:val="yellow"/>
        </w:rPr>
        <w:t xml:space="preserve"> </w:t>
      </w:r>
      <w:r>
        <w:rPr>
          <w:highlight w:val="yellow"/>
        </w:rPr>
        <w:t xml:space="preserve">calculation. This issue also needs to be handled consistently with the 2002 Far</w:t>
      </w:r>
      <w:r>
        <w:rPr>
          <w:highlight w:val="yellow"/>
        </w:rPr>
        <w:t xml:space="preserve"> </w:t>
      </w:r>
      <w:r>
        <w:rPr>
          <w:highlight w:val="yellow"/>
        </w:rPr>
        <w:t xml:space="preserve">North fleet change, so that recruitment-regime assumptions and selectivity</w:t>
      </w:r>
      <w:r>
        <w:rPr>
          <w:highlight w:val="yellow"/>
        </w:rPr>
        <w:t xml:space="preserve"> </w:t>
      </w:r>
      <w:r>
        <w:rPr>
          <w:highlight w:val="yellow"/>
        </w:rPr>
        <w:t xml:space="preserve">regularization are not confounded across the one-stock and two-stock operating</w:t>
      </w:r>
      <w:r>
        <w:rPr>
          <w:highlight w:val="yellow"/>
        </w:rPr>
        <w:t xml:space="preserve"> </w:t>
      </w:r>
      <w:r>
        <w:rPr>
          <w:highlight w:val="yellow"/>
        </w:rPr>
        <w:t xml:space="preserve">model hypotheses.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25" name="Picture"/>
                  <a:graphic>
                    <a:graphicData uri="http://schemas.openxmlformats.org/drawingml/2006/picture">
                      <pic:pic>
                        <pic:nvPicPr>
                          <pic:cNvPr descr="/Applications/quarto/share/formats/docx/note.png" id="126" name="Picture"/>
                          <pic:cNvPicPr>
                            <a:picLocks noChangeArrowheads="1" noChangeAspect="1"/>
                          </pic:cNvPicPr>
                        </pic:nvPicPr>
                        <pic:blipFill>
                          <a:blip r:embed="rId3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 (I. Mosqueira)</w:t>
            </w:r>
          </w:p>
        </w:tc>
      </w:tr>
      <w:tr>
        <w:trPr>
          <w:cantSplit/>
        </w:trPr>
        <w:tc>
          <w:tcPr>
            <w:tcMar>
              <w:top w:w="108" w:type="dxa"/>
              <w:bottom w:w="108" w:type="dxa"/>
            </w:tcMar>
          </w:tcPr>
          <w:p>
            <w:pPr>
              <w:pStyle w:val="BodyText"/>
            </w:pPr>
            <w:pPr>
              <w:spacing w:before="16"/>
            </w:pPr>
            <w:r>
              <w:rPr>
                <w:b/>
                <w:bCs/>
              </w:rPr>
              <w:t xml:space="preserve">88.</w:t>
            </w:r>
            <w:r>
              <w:t xml:space="preserve"> </w:t>
            </w:r>
            <w:r>
              <w:t xml:space="preserve">Under</w:t>
            </w:r>
            <w:r>
              <w:t xml:space="preserve"> </w:t>
            </w:r>
            <w:r>
              <w:rPr>
                <w:rStyle w:val="VerbatimChar"/>
              </w:rPr>
              <w:t xml:space="preserve">h2_1.14</w:t>
            </w:r>
            <w:r>
              <w:t xml:space="preserve">, the northern component already includes a regime shift at 1999, and this structural feature should be preserved in that operating model to reflect the interpretation embedded in the current assessment. For the single-stock hypothesis, no formal regime splitting is assumed. Evaluating MSE performance with and without regime structure — by comparing h1 and h2 operating models and by running a version of h1 with a productivity regime break — would clarify how sensitive management procedures are to assumptions about long-run productivity.</w:t>
            </w:r>
          </w:p>
          <w:p>
            <w:pPr>
              <w:pStyle w:val="BodyText"/>
            </w:pPr>
            <w:pPr>
              <w:spacing w:after="16"/>
            </w:pPr>
            <w:r>
              <w:rPr>
                <w:b/>
                <w:bCs/>
              </w:rPr>
              <w:t xml:space="preserve">89.</w:t>
            </w:r>
            <w:r>
              <w:t xml:space="preserve"> </w:t>
            </w:r>
            <w:r>
              <w:t xml:space="preserve">An important diagnostic concern is that some recent recruitments already exceed the upper envelope of the fitted stock-recruitment curve. This suggests that the fitted Beverton-Holt relationship may be conservative relative to actual recruitment productivity in recent years. Future work should consider whether alternative recruitment distributions, higher ceiling values for recruitment deviations, or a revisited steepness estimate are warranted. Projecting with a recruitment distribution that truncates the upper tail of realized recruitments would be systematically pessimistic about stock productivity, which would in turn bias MSE performance comparisons toward overly cautious management conclusions.</w:t>
            </w:r>
          </w:p>
          <w:p/>
        </w:tc>
      </w:tr>
    </w:tbl>
    <w:p>
      <w:pPr>
        <w:pStyle w:val="BodyText"/>
      </w:pPr>
      <w:r>
        <w:rPr>
          <w:b/>
          <w:bCs/>
        </w:rPr>
        <w:t xml:space="preserve">90.</w:t>
      </w:r>
      <w:r>
        <w:t xml:space="preserve"> </w:t>
      </w:r>
      <w:r>
        <w:rPr>
          <w:highlight w:val="yellow"/>
        </w:rPr>
        <w:t xml:space="preserve">To illustrate the consequences of collapsing this structure, I fitted</w:t>
      </w:r>
      <w:r>
        <w:rPr>
          <w:highlight w:val="yellow"/>
        </w:rPr>
        <w:t xml:space="preserve"> </w:t>
      </w:r>
      <w:r>
        <w:rPr>
          <w:rStyle w:val="VerbatimChar"/>
          <w:highlight w:val="yellow"/>
        </w:rPr>
        <w:t xml:space="preserve">h2_2.03</w:t>
      </w:r>
      <w:r>
        <w:rPr>
          <w:highlight w:val="yellow"/>
        </w:rPr>
        <w:t xml:space="preserve"> </w:t>
      </w:r>
      <w:r>
        <w:rPr>
          <w:highlight w:val="yellow"/>
        </w:rPr>
        <w:t xml:space="preserve">as a variant of</w:t>
      </w:r>
      <w:r>
        <w:rPr>
          <w:highlight w:val="yellow"/>
        </w:rPr>
        <w:t xml:space="preserve"> </w:t>
      </w:r>
      <w:r>
        <w:rPr>
          <w:rStyle w:val="VerbatimChar"/>
          <w:highlight w:val="yellow"/>
        </w:rPr>
        <w:t xml:space="preserve">h2_2.02</w:t>
      </w:r>
      <w:r>
        <w:rPr>
          <w:highlight w:val="yellow"/>
        </w:rPr>
        <w:t xml:space="preserve"> </w:t>
      </w:r>
      <w:r>
        <w:rPr>
          <w:highlight w:val="yellow"/>
        </w:rPr>
        <w:t xml:space="preserve">in which the second stock uses a single stock-recruitment regime spanning the combined years that were previously split across the two stock-2 regimes. This should be interpreted as a diagnostic simplification rather than as the preferred benchmark treatment for the Far North.</w:t>
      </w:r>
      <w:r>
        <w:t xml:space="preserve"> </w:t>
      </w:r>
      <w:r>
        <w:t xml:space="preserve">The simplified model converged cleanly, with a slightly worse objective function than</w:t>
      </w:r>
      <w:r>
        <w:t xml:space="preserve"> </w:t>
      </w:r>
      <w:r>
        <w:rPr>
          <w:rStyle w:val="VerbatimChar"/>
        </w:rPr>
        <w:t xml:space="preserve">h2_2.02</w:t>
      </w:r>
      <w:r>
        <w:t xml:space="preserve"> </w:t>
      </w:r>
      <w:r>
        <w:t xml:space="preserve">(</w:t>
      </w:r>
      <w:r>
        <w:rPr>
          <w:rStyle w:val="VerbatimChar"/>
        </w:rPr>
        <w:t xml:space="preserve">1117.2</w:t>
      </w:r>
      <w:r>
        <w:t xml:space="preserve"> </w:t>
      </w:r>
      <w:r>
        <w:t xml:space="preserve">versus</w:t>
      </w:r>
      <w:r>
        <w:t xml:space="preserve"> </w:t>
      </w:r>
      <w:r>
        <w:rPr>
          <w:rStyle w:val="VerbatimChar"/>
        </w:rPr>
        <w:t xml:space="preserve">1111.4</w:t>
      </w:r>
      <w:r>
        <w:t xml:space="preserve">). The fitted stock-recruitment curves for stock 2 are compared in</w:t>
      </w:r>
      <w:r>
        <w:t xml:space="preserve"> </w:t>
      </w:r>
      <w:hyperlink w:anchor="fig-h2-sr-compare">
        <w:r>
          <w:rPr>
            <w:rStyle w:val="Hyperlink"/>
          </w:rPr>
          <w:t xml:space="preserve">Figure 16</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30" w:name="fig-h2-sr-compare"/>
          <w:p>
            <w:pPr>
              <w:pStyle w:val="Compact"/>
              <w:jc w:val="center"/>
            </w:pPr>
            <w:r>
              <w:drawing>
                <wp:inline>
                  <wp:extent cx="5334000" cy="3194843"/>
                  <wp:effectExtent b="0" l="0" r="0" t="0"/>
                  <wp:docPr descr="" title="" id="128" name="Picture"/>
                  <a:graphic>
                    <a:graphicData uri="http://schemas.openxmlformats.org/drawingml/2006/picture">
                      <pic:pic>
                        <pic:nvPicPr>
                          <pic:cNvPr descr="SCW16-Paper-01_files/figure-docx/fig-h2-sr-compare-1.png" id="129" name="Picture"/>
                          <pic:cNvPicPr>
                            <a:picLocks noChangeArrowheads="1" noChangeAspect="1"/>
                          </pic:cNvPicPr>
                        </pic:nvPicPr>
                        <pic:blipFill>
                          <a:blip r:embed="rId127"/>
                          <a:stretch>
                            <a:fillRect/>
                          </a:stretch>
                        </pic:blipFill>
                        <pic:spPr bwMode="auto">
                          <a:xfrm>
                            <a:off x="0" y="0"/>
                            <a:ext cx="5334000" cy="3194843"/>
                          </a:xfrm>
                          <a:prstGeom prst="rect">
                            <a:avLst/>
                          </a:prstGeom>
                          <a:noFill/>
                          <a:ln w="9525">
                            <a:noFill/>
                            <a:headEnd/>
                            <a:tailEnd/>
                          </a:ln>
                        </pic:spPr>
                      </pic:pic>
                    </a:graphicData>
                  </a:graphic>
                </wp:inline>
              </w:drawing>
            </w:r>
          </w:p>
          <w:p>
            <w:pPr>
              <w:jc w:val="center"/>
            </w:pPr>
            <w:pPr>
              <w:jc w:val="left"/>
              <w:spacing w:before="200"/>
              <w:pStyle w:val="ImageCaption"/>
            </w:pPr>
            <w:r>
              <w:t xml:space="preserve">Figure 16: Stock-2 Beverton-Holt stock-recruitment curves for</w:t>
            </w:r>
            <w:r>
              <w:t xml:space="preserve"> </w:t>
            </w:r>
            <w:r>
              <w:rPr>
                <w:rStyle w:val="VerbatimChar"/>
              </w:rPr>
              <w:t xml:space="preserve">h2_2.02</w:t>
            </w:r>
            <w:r>
              <w:t xml:space="preserve"> </w:t>
            </w:r>
            <w:r>
              <w:t xml:space="preserve">and</w:t>
            </w:r>
            <w:r>
              <w:t xml:space="preserve"> </w:t>
            </w:r>
            <w:r>
              <w:rPr>
                <w:rStyle w:val="VerbatimChar"/>
              </w:rPr>
              <w:t xml:space="preserve">h2_2.03</w:t>
            </w:r>
            <w:r>
              <w:t xml:space="preserve">. The left panel shows the two stock-2 recruitment regimes retained in</w:t>
            </w:r>
            <w:r>
              <w:t xml:space="preserve"> </w:t>
            </w:r>
            <w:r>
              <w:rPr>
                <w:rStyle w:val="VerbatimChar"/>
              </w:rPr>
              <w:t xml:space="preserve">h2_2.02</w:t>
            </w:r>
            <w:r>
              <w:t xml:space="preserve">; the right panel shows the single stock-2 regime used in</w:t>
            </w:r>
            <w:r>
              <w:t xml:space="preserve"> </w:t>
            </w:r>
            <w:r>
              <w:rPr>
                <w:rStyle w:val="VerbatimChar"/>
              </w:rPr>
              <w:t xml:space="preserve">h2_2.03</w:t>
            </w:r>
            <w:r>
              <w:t xml:space="preserve">.</w:t>
            </w:r>
          </w:p>
          <w:bookmarkEnd w:id="130"/>
        </w:tc>
      </w:tr>
    </w:tbl>
    <w:p>
      <w:pPr>
        <w:pStyle w:val="BodyText"/>
      </w:pPr>
      <w:r>
        <w:rPr>
          <w:b/>
          <w:bCs/>
        </w:rPr>
        <w:t xml:space="preserve">91.</w:t>
      </w:r>
      <w:r>
        <w:t xml:space="preserve"> </w:t>
      </w:r>
      <w:r>
        <w:t xml:space="preserve">As in</w:t>
      </w:r>
      <w:r>
        <w:t xml:space="preserve"> </w:t>
      </w:r>
      <w:r>
        <w:rPr>
          <w:rStyle w:val="VerbatimChar"/>
        </w:rPr>
        <w:t xml:space="preserve">h2_1.14</w:t>
      </w:r>
      <w:r>
        <w:t xml:space="preserve">, model</w:t>
      </w:r>
      <w:r>
        <w:t xml:space="preserve"> </w:t>
      </w:r>
      <w:r>
        <w:rPr>
          <w:rStyle w:val="VerbatimChar"/>
        </w:rPr>
        <w:t xml:space="preserve">h2_2.02</w:t>
      </w:r>
      <w:r>
        <w:t xml:space="preserve"> </w:t>
      </w:r>
      <w:r>
        <w:t xml:space="preserve">uses two stock-2 recruitment-regime fitting windows for estimating the stock-recruitment relationships, but it intentionally omits some hatch years from those regime vectors. For</w:t>
      </w:r>
      <w:r>
        <w:t xml:space="preserve"> </w:t>
      </w:r>
      <w:r>
        <w:rPr>
          <w:rStyle w:val="VerbatimChar"/>
        </w:rPr>
        <w:t xml:space="preserve">h2_2.02</w:t>
      </w:r>
      <w:r>
        <w:t xml:space="preserve">, the fitting windows are</w:t>
      </w:r>
      <w:r>
        <w:t xml:space="preserve"> </w:t>
      </w:r>
      <w:r>
        <w:rPr>
          <w:rStyle w:val="VerbatimChar"/>
        </w:rPr>
        <w:t xml:space="preserve">SR_Curve_years_1 = 1970:1996</w:t>
      </w:r>
      <w:r>
        <w:t xml:space="preserve"> </w:t>
      </w:r>
      <w:r>
        <w:t xml:space="preserve">and</w:t>
      </w:r>
      <w:r>
        <w:t xml:space="preserve"> </w:t>
      </w:r>
      <w:r>
        <w:rPr>
          <w:rStyle w:val="VerbatimChar"/>
        </w:rPr>
        <w:t xml:space="preserve">SR_Curve_years_2 = 2001:2016</w:t>
      </w:r>
      <w:r>
        <w:t xml:space="preserve">, so hatch years</w:t>
      </w:r>
      <w:r>
        <w:t xml:space="preserve"> </w:t>
      </w:r>
      <w:r>
        <w:rPr>
          <w:rStyle w:val="VerbatimChar"/>
        </w:rPr>
        <w:t xml:space="preserve">1997-2000</w:t>
      </w:r>
      <w:r>
        <w:t xml:space="preserve"> </w:t>
      </w:r>
      <w:r>
        <w:t xml:space="preserve">are excluded from the stock-2 SR fitting windows. In principle a year label can be absent either because it is not assigned to a stock-2 SR regime or because label overlap is suppressed, but</w:t>
      </w:r>
      <w:r>
        <w:t xml:space="preserve"> </w:t>
      </w:r>
      <w:hyperlink w:anchor="fig-h2-sr-compare">
        <w:r>
          <w:rPr>
            <w:rStyle w:val="Hyperlink"/>
          </w:rPr>
          <w:t xml:space="preserve">Figure 16</w:t>
        </w:r>
      </w:hyperlink>
      <w:r>
        <w:t xml:space="preserve"> </w:t>
      </w:r>
      <w:r>
        <w:t xml:space="preserve">now plots all years explicitly. The years omitted from regime fitting are shown with yellow label backgrounds, so labels such as</w:t>
      </w:r>
      <w:r>
        <w:t xml:space="preserve"> </w:t>
      </w:r>
      <w:r>
        <w:rPr>
          <w:rStyle w:val="VerbatimChar"/>
        </w:rPr>
        <w:t xml:space="preserve">98</w:t>
      </w:r>
      <w:r>
        <w:t xml:space="preserve"> </w:t>
      </w:r>
      <w:r>
        <w:t xml:space="preserve">now appear as excluded years rather than seeming to be missing by accident.</w:t>
      </w:r>
    </w:p>
    <w:p>
      <w:pPr>
        <w:pStyle w:val="BodyText"/>
      </w:pPr>
      <w:r>
        <w:rPr>
          <w:b/>
          <w:bCs/>
        </w:rPr>
        <w:t xml:space="preserve">92.</w:t>
      </w:r>
      <w:r>
        <w:t xml:space="preserve"> </w:t>
      </w:r>
      <w:r>
        <w:t xml:space="preserve">The corresponding stock-2 spawning biomass trajectories are compared in</w:t>
      </w:r>
      <w:r>
        <w:t xml:space="preserve"> </w:t>
      </w:r>
      <w:hyperlink w:anchor="fig-h2-stock2-ssb">
        <w:r>
          <w:rPr>
            <w:rStyle w:val="Hyperlink"/>
          </w:rPr>
          <w:t xml:space="preserve">Figure 17</w:t>
        </w:r>
      </w:hyperlink>
      <w:r>
        <w:t xml:space="preserve">. The single-regime formulation leaves the broad stock-2 biomass history similar to</w:t>
      </w:r>
      <w:r>
        <w:t xml:space="preserve"> </w:t>
      </w:r>
      <w:r>
        <w:rPr>
          <w:rStyle w:val="VerbatimChar"/>
        </w:rPr>
        <w:t xml:space="preserve">h2_2.02</w:t>
      </w:r>
      <w:r>
        <w:t xml:space="preserve">, but with a modest upward shift over much of the series. The corresponding stock-2 recruitment estimates are compared in</w:t>
      </w:r>
      <w:r>
        <w:t xml:space="preserve"> </w:t>
      </w:r>
      <w:hyperlink w:anchor="fig-h2-stock2-rec">
        <w:r>
          <w:rPr>
            <w:rStyle w:val="Hyperlink"/>
          </w:rPr>
          <w:t xml:space="preserve">Figure 18</w:t>
        </w:r>
      </w:hyperlink>
      <w:r>
        <w:t xml:space="preserve">. The single-regime formulation changes the fitted recruitment trajectory modestly, with the largest differences occurring in the early years and around some of the higher-recruitment episodes.</w:t>
      </w:r>
      <w:r>
        <w:t xml:space="preserve"> </w:t>
      </w:r>
      <w:r>
        <w:rPr>
          <w:highlight w:val="yellow"/>
        </w:rPr>
        <w:t xml:space="preserve">These diagnostics show that a single-regime formulation is computationally feasible, but they do not remove the biological and ecosystem rationale for retaining the late-1990s Far North productivity shift in the benchmark reference set.</w:t>
      </w:r>
    </w:p>
    <w:tbl>
      <w:tblPr>
        <w:tblStyle w:val="Table"/>
        <w:tblW w:type="pct" w:w="5000"/>
        <w:tblLayout w:type="fixed"/>
        <w:tblLook w:firstRow="0" w:lastRow="0" w:firstColumn="0" w:lastColumn="0" w:noHBand="0" w:noVBand="0" w:val="0000"/>
      </w:tblPr>
      <w:tblGrid>
        <w:gridCol w:w="7920"/>
      </w:tblGrid>
      <w:tr>
        <w:tc>
          <w:tcPr/>
          <w:bookmarkStart w:id="134" w:name="fig-h2-stock2-ssb"/>
          <w:p>
            <w:pPr>
              <w:pStyle w:val="Compact"/>
              <w:jc w:val="center"/>
            </w:pPr>
            <w:r>
              <w:drawing>
                <wp:inline>
                  <wp:extent cx="5334000" cy="3062882"/>
                  <wp:effectExtent b="0" l="0" r="0" t="0"/>
                  <wp:docPr descr="" title="" id="132" name="Picture"/>
                  <a:graphic>
                    <a:graphicData uri="http://schemas.openxmlformats.org/drawingml/2006/picture">
                      <pic:pic>
                        <pic:nvPicPr>
                          <pic:cNvPr descr="SCW16-Paper-01_files/figure-docx/fig-h2-stock2-ssb-1.png" id="133" name="Picture"/>
                          <pic:cNvPicPr>
                            <a:picLocks noChangeArrowheads="1" noChangeAspect="1"/>
                          </pic:cNvPicPr>
                        </pic:nvPicPr>
                        <pic:blipFill>
                          <a:blip r:embed="rId131"/>
                          <a:stretch>
                            <a:fillRect/>
                          </a:stretch>
                        </pic:blipFill>
                        <pic:spPr bwMode="auto">
                          <a:xfrm>
                            <a:off x="0" y="0"/>
                            <a:ext cx="5334000" cy="3062882"/>
                          </a:xfrm>
                          <a:prstGeom prst="rect">
                            <a:avLst/>
                          </a:prstGeom>
                          <a:noFill/>
                          <a:ln w="9525">
                            <a:noFill/>
                            <a:headEnd/>
                            <a:tailEnd/>
                          </a:ln>
                        </pic:spPr>
                      </pic:pic>
                    </a:graphicData>
                  </a:graphic>
                </wp:inline>
              </w:drawing>
            </w:r>
          </w:p>
          <w:p>
            <w:pPr>
              <w:jc w:val="center"/>
            </w:pPr>
            <w:pPr>
              <w:jc w:val="left"/>
              <w:spacing w:before="200"/>
              <w:pStyle w:val="ImageCaption"/>
            </w:pPr>
            <w:r>
              <w:t xml:space="preserve">Figure 17: Estimated stock-2 spawning biomass trajectories for</w:t>
            </w:r>
            <w:r>
              <w:t xml:space="preserve"> </w:t>
            </w:r>
            <w:r>
              <w:rPr>
                <w:rStyle w:val="VerbatimChar"/>
              </w:rPr>
              <w:t xml:space="preserve">h2_2.02</w:t>
            </w:r>
            <w:r>
              <w:t xml:space="preserve"> </w:t>
            </w:r>
            <w:r>
              <w:t xml:space="preserve">and</w:t>
            </w:r>
            <w:r>
              <w:t xml:space="preserve"> </w:t>
            </w:r>
            <w:r>
              <w:rPr>
                <w:rStyle w:val="VerbatimChar"/>
              </w:rPr>
              <w:t xml:space="preserve">h2_2.03</w:t>
            </w:r>
            <w:r>
              <w:t xml:space="preserve">.</w:t>
            </w:r>
          </w:p>
          <w:bookmarkEnd w:id="134"/>
        </w:tc>
      </w:tr>
    </w:tbl>
    <w:tbl>
      <w:tblPr>
        <w:tblStyle w:val="Table"/>
        <w:tblW w:type="pct" w:w="5000"/>
        <w:tblLayout w:type="fixed"/>
        <w:tblLook w:firstRow="0" w:lastRow="0" w:firstColumn="0" w:lastColumn="0" w:noHBand="0" w:noVBand="0" w:val="0000"/>
      </w:tblPr>
      <w:tblGrid>
        <w:gridCol w:w="7920"/>
      </w:tblGrid>
      <w:tr>
        <w:tc>
          <w:tcPr/>
          <w:bookmarkStart w:id="138" w:name="fig-h2-stock2-rec"/>
          <w:p>
            <w:pPr>
              <w:pStyle w:val="Compact"/>
              <w:jc w:val="center"/>
            </w:pPr>
            <w:r>
              <w:drawing>
                <wp:inline>
                  <wp:extent cx="5334000" cy="3062882"/>
                  <wp:effectExtent b="0" l="0" r="0" t="0"/>
                  <wp:docPr descr="" title="" id="136" name="Picture"/>
                  <a:graphic>
                    <a:graphicData uri="http://schemas.openxmlformats.org/drawingml/2006/picture">
                      <pic:pic>
                        <pic:nvPicPr>
                          <pic:cNvPr descr="SCW16-Paper-01_files/figure-docx/fig-h2-stock2-rec-1.png" id="137" name="Picture"/>
                          <pic:cNvPicPr>
                            <a:picLocks noChangeArrowheads="1" noChangeAspect="1"/>
                          </pic:cNvPicPr>
                        </pic:nvPicPr>
                        <pic:blipFill>
                          <a:blip r:embed="rId135"/>
                          <a:stretch>
                            <a:fillRect/>
                          </a:stretch>
                        </pic:blipFill>
                        <pic:spPr bwMode="auto">
                          <a:xfrm>
                            <a:off x="0" y="0"/>
                            <a:ext cx="5334000" cy="3062882"/>
                          </a:xfrm>
                          <a:prstGeom prst="rect">
                            <a:avLst/>
                          </a:prstGeom>
                          <a:noFill/>
                          <a:ln w="9525">
                            <a:noFill/>
                            <a:headEnd/>
                            <a:tailEnd/>
                          </a:ln>
                        </pic:spPr>
                      </pic:pic>
                    </a:graphicData>
                  </a:graphic>
                </wp:inline>
              </w:drawing>
            </w:r>
          </w:p>
          <w:p>
            <w:pPr>
              <w:jc w:val="center"/>
            </w:pPr>
            <w:pPr>
              <w:jc w:val="left"/>
              <w:spacing w:before="200"/>
              <w:pStyle w:val="ImageCaption"/>
            </w:pPr>
            <w:r>
              <w:t xml:space="preserve">Figure 18: Estimated stock-2 recruitment trajectories for</w:t>
            </w:r>
            <w:r>
              <w:t xml:space="preserve"> </w:t>
            </w:r>
            <w:r>
              <w:rPr>
                <w:rStyle w:val="VerbatimChar"/>
              </w:rPr>
              <w:t xml:space="preserve">h2_2.02</w:t>
            </w:r>
            <w:r>
              <w:t xml:space="preserve"> </w:t>
            </w:r>
            <w:r>
              <w:t xml:space="preserve">and</w:t>
            </w:r>
            <w:r>
              <w:t xml:space="preserve"> </w:t>
            </w:r>
            <w:r>
              <w:rPr>
                <w:rStyle w:val="VerbatimChar"/>
              </w:rPr>
              <w:t xml:space="preserve">h2_2.03</w:t>
            </w:r>
            <w:r>
              <w:t xml:space="preserve">.</w:t>
            </w:r>
          </w:p>
          <w:bookmarkEnd w:id="138"/>
        </w:tc>
      </w:tr>
    </w:tbl>
    <w:bookmarkEnd w:id="139"/>
    <w:bookmarkStart w:id="150" w:name="fixed-reference-point-alternatives"/>
    <w:p>
      <w:pPr>
        <w:pStyle w:val="Heading2"/>
      </w:pPr>
      <w:r>
        <w:t xml:space="preserve">6.5 Fixed-Reference-Point Alternatives</w:t>
      </w:r>
    </w:p>
    <w:p>
      <w:pPr>
        <w:pStyle w:val="FirstParagraph"/>
      </w:pPr>
      <w:r>
        <w:rPr>
          <w:b/>
          <w:bCs/>
        </w:rPr>
        <w:t xml:space="preserve">93.</w:t>
      </w:r>
      <w:r>
        <w:t xml:space="preserve"> </w:t>
      </w:r>
      <w:r>
        <w:t xml:space="preserve">An issue also arose regarding fixed biomass and harvest-rate reference points</w:t>
      </w:r>
      <w:r>
        <w:br/>
      </w:r>
      <w:r>
        <w:t xml:space="preserve">rather than dynamic reference points estimated from terminal-year conditions.</w:t>
      </w:r>
      <w:r>
        <w:t xml:space="preserve"> </w:t>
      </w:r>
      <w:r>
        <w:t xml:space="preserve">This would make the interpretation of management performance much clearer</w:t>
      </w:r>
      <w:r>
        <w:t xml:space="preserve"> </w:t>
      </w:r>
      <w:r>
        <w:t xml:space="preserve">while still allowing later comparison back to the SC13 assessment convention.</w:t>
      </w:r>
    </w:p>
    <w:p>
      <w:pPr>
        <w:pStyle w:val="BodyText"/>
      </w:pPr>
      <w:r>
        <w:rPr>
          <w:b/>
          <w:bCs/>
        </w:rPr>
        <w:t xml:space="preserve">94.</w:t>
      </w:r>
      <w:r>
        <w:t xml:space="preserve"> </w:t>
      </w:r>
      <w:r>
        <w:t xml:space="preserve">The dynamic reference point system in the JJM — where</w:t>
      </w:r>
      <w:r>
        <w:t xml:space="preserve"> </w:t>
      </w:r>
      <m:oMath>
        <m:sSub>
          <m:e>
            <m:r>
              <m:t>B</m:t>
            </m:r>
          </m:e>
          <m:sub>
            <m:r>
              <m:t>M</m:t>
            </m:r>
            <m:r>
              <m:t>S</m:t>
            </m:r>
            <m:r>
              <m:t>Y</m:t>
            </m:r>
          </m:sub>
        </m:sSub>
      </m:oMath>
      <w:r>
        <w:t xml:space="preserve"> </w:t>
      </w:r>
      <w:r>
        <w:t xml:space="preserve">and</w:t>
      </w:r>
      <w:r>
        <w:t xml:space="preserve"> </w:t>
      </w:r>
      <m:oMath>
        <m:sSub>
          <m:e>
            <m:r>
              <m:t>F</m:t>
            </m:r>
          </m:e>
          <m:sub>
            <m:r>
              <m:t>M</m:t>
            </m:r>
            <m:r>
              <m:t>S</m:t>
            </m:r>
            <m:r>
              <m:t>Y</m:t>
            </m:r>
          </m:sub>
        </m:sSub>
      </m:oMath>
      <w:r>
        <w:t xml:space="preserve"> </w:t>
      </w:r>
      <w:r>
        <w:t xml:space="preserve">shift</w:t>
      </w:r>
      <w:r>
        <w:t xml:space="preserve"> </w:t>
      </w:r>
      <w:r>
        <w:t xml:space="preserve">with terminal-year selectivity and weight-at-age — is appropriate in the</w:t>
      </w:r>
      <w:r>
        <w:t xml:space="preserve"> </w:t>
      </w:r>
      <w:r>
        <w:t xml:space="preserve">annual assessment context but problematic for MSE. If reference points change</w:t>
      </w:r>
      <w:r>
        <w:t xml:space="preserve"> </w:t>
      </w:r>
      <w:r>
        <w:t xml:space="preserve">every year as a function of the operating model state, it becomes difficult</w:t>
      </w:r>
      <w:r>
        <w:t xml:space="preserve"> </w:t>
      </w:r>
      <w:r>
        <w:t xml:space="preserve">to distinguish genuine changes in stock productivity from artefacts of the</w:t>
      </w:r>
      <w:r>
        <w:t xml:space="preserve"> </w:t>
      </w:r>
      <w:r>
        <w:t xml:space="preserve">simulation design.</w:t>
      </w:r>
    </w:p>
    <w:p>
      <w:pPr>
        <w:pStyle w:val="BodyText"/>
      </w:pPr>
      <w:r>
        <w:rPr>
          <w:b/>
          <w:bCs/>
        </w:rPr>
        <w:t xml:space="preserve">95.</w:t>
      </w:r>
      <w:r>
        <w:t xml:space="preserve"> </w:t>
      </w:r>
      <w:r>
        <w:t xml:space="preserve">As an additional diagnostic of selectivity dynamics, the fishery-combined mean selected age can be tracked through time:</w:t>
      </w:r>
    </w:p>
    <w:p>
      <w:pPr>
        <w:pStyle w:val="BodyText"/>
      </w:pPr>
      <m:oMathPara>
        <m:oMathParaPr>
          <m:jc m:val="center"/>
        </m:oMathParaPr>
        <m:oMath>
          <m:sSub>
            <m:e>
              <m:acc>
                <m:accPr>
                  <m:chr m:val="‾"/>
                </m:accPr>
                <m:e>
                  <m:r>
                    <m:t>a</m:t>
                  </m:r>
                </m:e>
              </m:acc>
            </m:e>
            <m:sub>
              <m:r>
                <m:t>t</m:t>
              </m:r>
            </m:sub>
          </m:sSub>
          <m:r>
            <m:rPr>
              <m:sty m:val="p"/>
            </m:rPr>
            <m:t>=</m:t>
          </m:r>
          <m:f>
            <m:fPr>
              <m:type m:val="bar"/>
            </m:fPr>
            <m:num>
              <m:nary>
                <m:naryPr>
                  <m:chr m:val="∑"/>
                  <m:limLoc m:val="undOvr"/>
                  <m:subHide m:val="off"/>
                  <m:supHide m:val="on"/>
                </m:naryPr>
                <m:sub>
                  <m:r>
                    <m:t>a</m:t>
                  </m:r>
                </m:sub>
                <m:sup>
                  <m:r>
                    <m:t>​</m:t>
                  </m:r>
                </m:sup>
                <m:e>
                  <m:sSub>
                    <m:e>
                      <m:r>
                        <m:t>F</m:t>
                      </m:r>
                    </m:e>
                    <m:sub>
                      <m:r>
                        <m:t>a</m:t>
                      </m:r>
                      <m:r>
                        <m:rPr>
                          <m:sty m:val="p"/>
                        </m:rPr>
                        <m:t>,</m:t>
                      </m:r>
                      <m:r>
                        <m:t>t</m:t>
                      </m:r>
                    </m:sub>
                  </m:sSub>
                </m:e>
              </m:nary>
              <m:r>
                <m:t>a</m:t>
              </m:r>
            </m:num>
            <m:den>
              <m:nary>
                <m:naryPr>
                  <m:chr m:val="∑"/>
                  <m:limLoc m:val="undOvr"/>
                  <m:subHide m:val="off"/>
                  <m:supHide m:val="on"/>
                </m:naryPr>
                <m:sub>
                  <m:r>
                    <m:t>a</m:t>
                  </m:r>
                </m:sub>
                <m:sup>
                  <m:r>
                    <m:t>​</m:t>
                  </m:r>
                </m:sup>
                <m:e>
                  <m:sSub>
                    <m:e>
                      <m:r>
                        <m:t>F</m:t>
                      </m:r>
                    </m:e>
                    <m:sub>
                      <m:r>
                        <m:t>a</m:t>
                      </m:r>
                      <m:r>
                        <m:rPr>
                          <m:sty m:val="p"/>
                        </m:rPr>
                        <m:t>,</m:t>
                      </m:r>
                      <m:r>
                        <m:t>t</m:t>
                      </m:r>
                    </m:sub>
                  </m:sSub>
                </m:e>
              </m:nary>
            </m:den>
          </m:f>
          <m:r>
            <m:rPr>
              <m:sty m:val="p"/>
            </m:rPr>
            <m:t>,</m:t>
          </m:r>
        </m:oMath>
      </m:oMathPara>
    </w:p>
    <w:p>
      <w:pPr>
        <w:pStyle w:val="FirstParagraph"/>
      </w:pPr>
      <w:r>
        <w:t xml:space="preserve">where</w:t>
      </w:r>
      <w:r>
        <w:t xml:space="preserve"> </w:t>
      </w:r>
      <m:oMath>
        <m:sSub>
          <m:e>
            <m:r>
              <m:t>F</m:t>
            </m:r>
          </m:e>
          <m:sub>
            <m:r>
              <m:t>a</m:t>
            </m:r>
            <m:r>
              <m:rPr>
                <m:sty m:val="p"/>
              </m:rPr>
              <m:t>,</m:t>
            </m:r>
            <m:r>
              <m:t>t</m:t>
            </m:r>
          </m:sub>
        </m:sSub>
      </m:oMath>
      <w:r>
        <w:t xml:space="preserve"> </w:t>
      </w:r>
      <w:r>
        <w:t xml:space="preserve">is total fishing mortality at age in year</w:t>
      </w:r>
      <w:r>
        <w:t xml:space="preserve"> </w:t>
      </w:r>
      <m:oMath>
        <m:r>
          <m:t>t</m:t>
        </m:r>
      </m:oMath>
      <w:r>
        <w:t xml:space="preserve">. The resulting patterns for the selectivity alternatives</w:t>
      </w:r>
      <w:r>
        <w:t xml:space="preserve"> </w:t>
      </w:r>
      <w:r>
        <w:rPr>
          <w:rStyle w:val="VerbatimChar"/>
        </w:rPr>
        <w:t xml:space="preserve">h1_2.00</w:t>
      </w:r>
      <w:r>
        <w:t xml:space="preserve">,</w:t>
      </w:r>
      <w:r>
        <w:t xml:space="preserve"> </w:t>
      </w:r>
      <w:r>
        <w:rPr>
          <w:rStyle w:val="VerbatimChar"/>
        </w:rPr>
        <w:t xml:space="preserve">h1_2.01</w:t>
      </w:r>
      <w:r>
        <w:t xml:space="preserve">,</w:t>
      </w:r>
      <w:r>
        <w:t xml:space="preserve"> </w:t>
      </w:r>
      <w:r>
        <w:rPr>
          <w:rStyle w:val="VerbatimChar"/>
        </w:rPr>
        <w:t xml:space="preserve">h1_2.01.1</w:t>
      </w:r>
      <w:r>
        <w:t xml:space="preserve">, and</w:t>
      </w:r>
      <w:r>
        <w:t xml:space="preserve"> </w:t>
      </w:r>
      <w:r>
        <w:rPr>
          <w:rStyle w:val="VerbatimChar"/>
        </w:rPr>
        <w:t xml:space="preserve">h1_2.01.2</w:t>
      </w:r>
      <w:r>
        <w:t xml:space="preserve"> </w:t>
      </w:r>
      <w:r>
        <w:t xml:space="preserve">are shown in</w:t>
      </w:r>
      <w:r>
        <w:t xml:space="preserve"> </w:t>
      </w:r>
      <w:hyperlink w:anchor="fig-mean-selected-age">
        <w:r>
          <w:rPr>
            <w:rStyle w:val="Hyperlink"/>
          </w:rPr>
          <w:t xml:space="preserve">Figure 19</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43" w:name="fig-mean-selected-age"/>
          <w:p>
            <w:pPr>
              <w:pStyle w:val="Compact"/>
              <w:jc w:val="center"/>
            </w:pPr>
            <w:r>
              <w:drawing>
                <wp:inline>
                  <wp:extent cx="5334000" cy="3062882"/>
                  <wp:effectExtent b="0" l="0" r="0" t="0"/>
                  <wp:docPr descr="" title="" id="141" name="Picture"/>
                  <a:graphic>
                    <a:graphicData uri="http://schemas.openxmlformats.org/drawingml/2006/picture">
                      <pic:pic>
                        <pic:nvPicPr>
                          <pic:cNvPr descr="SCW16-Paper-01_files/figure-docx/fig-mean-selected-age-1.png" id="142" name="Picture"/>
                          <pic:cNvPicPr>
                            <a:picLocks noChangeArrowheads="1" noChangeAspect="1"/>
                          </pic:cNvPicPr>
                        </pic:nvPicPr>
                        <pic:blipFill>
                          <a:blip r:embed="rId140"/>
                          <a:stretch>
                            <a:fillRect/>
                          </a:stretch>
                        </pic:blipFill>
                        <pic:spPr bwMode="auto">
                          <a:xfrm>
                            <a:off x="0" y="0"/>
                            <a:ext cx="5334000" cy="3062882"/>
                          </a:xfrm>
                          <a:prstGeom prst="rect">
                            <a:avLst/>
                          </a:prstGeom>
                          <a:noFill/>
                          <a:ln w="9525">
                            <a:noFill/>
                            <a:headEnd/>
                            <a:tailEnd/>
                          </a:ln>
                        </pic:spPr>
                      </pic:pic>
                    </a:graphicData>
                  </a:graphic>
                </wp:inline>
              </w:drawing>
            </w:r>
          </w:p>
          <w:p>
            <w:pPr>
              <w:jc w:val="center"/>
            </w:pPr>
            <w:pPr>
              <w:jc w:val="left"/>
              <w:spacing w:before="200"/>
              <w:pStyle w:val="ImageCaption"/>
            </w:pPr>
            <w:r>
              <w:t xml:space="preserve">Figure 19: Time trend in fishery-combined mean selected age for</w:t>
            </w:r>
            <w:r>
              <w:t xml:space="preserve"> </w:t>
            </w:r>
            <w:r>
              <w:rPr>
                <w:rStyle w:val="VerbatimChar"/>
              </w:rPr>
              <w:t xml:space="preserve">h1_2.00</w:t>
            </w:r>
            <w:r>
              <w:t xml:space="preserve">,</w:t>
            </w:r>
            <w:r>
              <w:t xml:space="preserve"> </w:t>
            </w:r>
            <w:r>
              <w:rPr>
                <w:rStyle w:val="VerbatimChar"/>
              </w:rPr>
              <w:t xml:space="preserve">h1_2.01</w:t>
            </w:r>
            <w:r>
              <w:t xml:space="preserve">,</w:t>
            </w:r>
            <w:r>
              <w:t xml:space="preserve"> </w:t>
            </w:r>
            <w:r>
              <w:rPr>
                <w:rStyle w:val="VerbatimChar"/>
              </w:rPr>
              <w:t xml:space="preserve">h1_2.01.1</w:t>
            </w:r>
            <w:r>
              <w:t xml:space="preserve">, and</w:t>
            </w:r>
            <w:r>
              <w:t xml:space="preserve"> </w:t>
            </w:r>
            <w:r>
              <w:rPr>
                <w:rStyle w:val="VerbatimChar"/>
              </w:rPr>
              <w:t xml:space="preserve">h1_2.01.2</w:t>
            </w:r>
            <w:r>
              <w:t xml:space="preserve">, computed as</w:t>
            </w:r>
            <w:r>
              <w:t xml:space="preserve"> </w:t>
            </w:r>
            <m:oMath>
              <m:sSub>
                <m:e>
                  <m:acc>
                    <m:accPr>
                      <m:chr m:val="‾"/>
                    </m:accPr>
                    <m:e>
                      <m:r>
                        <m:t>a</m:t>
                      </m:r>
                    </m:e>
                  </m:acc>
                </m:e>
                <m:sub>
                  <m:r>
                    <m:t>t</m:t>
                  </m:r>
                </m:sub>
              </m:sSub>
              <m:r>
                <m:rPr>
                  <m:sty m:val="p"/>
                </m:rPr>
                <m:t>=</m:t>
              </m:r>
              <m:nary>
                <m:naryPr>
                  <m:chr m:val="∑"/>
                  <m:limLoc m:val="undOvr"/>
                  <m:subHide m:val="off"/>
                  <m:supHide m:val="on"/>
                </m:naryPr>
                <m:sub>
                  <m:r>
                    <m:t>a</m:t>
                  </m:r>
                </m:sub>
                <m:sup>
                  <m:r>
                    <m:t>​</m:t>
                  </m:r>
                </m:sup>
                <m:e>
                  <m:sSub>
                    <m:e>
                      <m:r>
                        <m:t>F</m:t>
                      </m:r>
                    </m:e>
                    <m:sub>
                      <m:r>
                        <m:t>a</m:t>
                      </m:r>
                      <m:r>
                        <m:rPr>
                          <m:sty m:val="p"/>
                        </m:rPr>
                        <m:t>,</m:t>
                      </m:r>
                      <m:r>
                        <m:t>t</m:t>
                      </m:r>
                    </m:sub>
                  </m:sSub>
                </m:e>
              </m:nary>
              <m:r>
                <m:t>a</m:t>
              </m:r>
              <m:r>
                <m:rPr>
                  <m:sty m:val="p"/>
                </m:rPr>
                <m:t>/</m:t>
              </m:r>
              <m:nary>
                <m:naryPr>
                  <m:chr m:val="∑"/>
                  <m:limLoc m:val="undOvr"/>
                  <m:subHide m:val="off"/>
                  <m:supHide m:val="on"/>
                </m:naryPr>
                <m:sub>
                  <m:r>
                    <m:t>a</m:t>
                  </m:r>
                </m:sub>
                <m:sup>
                  <m:r>
                    <m:t>​</m:t>
                  </m:r>
                </m:sup>
                <m:e>
                  <m:sSub>
                    <m:e>
                      <m:r>
                        <m:t>F</m:t>
                      </m:r>
                    </m:e>
                    <m:sub>
                      <m:r>
                        <m:t>a</m:t>
                      </m:r>
                      <m:r>
                        <m:rPr>
                          <m:sty m:val="p"/>
                        </m:rPr>
                        <m:t>,</m:t>
                      </m:r>
                      <m:r>
                        <m:t>t</m:t>
                      </m:r>
                    </m:sub>
                  </m:sSub>
                </m:e>
              </m:nary>
            </m:oMath>
            <w:r>
              <w:t xml:space="preserve">.</w:t>
            </w:r>
          </w:p>
          <w:bookmarkEnd w:id="143"/>
        </w:tc>
      </w:tr>
    </w:tbl>
    <w:p>
      <w:pPr>
        <w:pStyle w:val="BodyText"/>
      </w:pPr>
      <w:r>
        <w:rPr>
          <w:b/>
          <w:bCs/>
        </w:rPr>
        <w:t xml:space="preserve">96.</w:t>
      </w:r>
      <w:r>
        <w:t xml:space="preserve"> </w:t>
      </w:r>
      <w:r>
        <w:t xml:space="preserve">The trajectories indicate that</w:t>
      </w:r>
      <w:r>
        <w:t xml:space="preserve"> </w:t>
      </w:r>
      <w:r>
        <w:rPr>
          <w:rStyle w:val="VerbatimChar"/>
        </w:rPr>
        <w:t xml:space="preserve">h1_2.00</w:t>
      </w:r>
      <w:r>
        <w:t xml:space="preserve"> </w:t>
      </w:r>
      <w:r>
        <w:t xml:space="preserve">has the highest and strongest increase in mean selected age,</w:t>
      </w:r>
      <w:r>
        <w:t xml:space="preserve"> </w:t>
      </w:r>
      <w:r>
        <w:rPr>
          <w:rStyle w:val="VerbatimChar"/>
        </w:rPr>
        <w:t xml:space="preserve">h1_2.01</w:t>
      </w:r>
      <w:r>
        <w:t xml:space="preserve"> </w:t>
      </w:r>
      <w:r>
        <w:t xml:space="preserve">and</w:t>
      </w:r>
      <w:r>
        <w:t xml:space="preserve"> </w:t>
      </w:r>
      <w:r>
        <w:rPr>
          <w:rStyle w:val="VerbatimChar"/>
        </w:rPr>
        <w:t xml:space="preserve">h1_2.01.2</w:t>
      </w:r>
      <w:r>
        <w:t xml:space="preserve"> </w:t>
      </w:r>
      <w:r>
        <w:t xml:space="preserve">remain lower and track closely, and</w:t>
      </w:r>
      <w:r>
        <w:t xml:space="preserve"> </w:t>
      </w:r>
      <w:r>
        <w:rPr>
          <w:rStyle w:val="VerbatimChar"/>
        </w:rPr>
        <w:t xml:space="preserve">h1_2.01.1</w:t>
      </w:r>
      <w:r>
        <w:t xml:space="preserve"> </w:t>
      </w:r>
      <w:r>
        <w:t xml:space="preserve">is intermediate, recovering part of the increase relative to</w:t>
      </w:r>
      <w:r>
        <w:t xml:space="preserve"> </w:t>
      </w:r>
      <w:r>
        <w:rPr>
          <w:rStyle w:val="VerbatimChar"/>
        </w:rPr>
        <w:t xml:space="preserve">h1_2.01</w:t>
      </w:r>
      <w:r>
        <w:t xml:space="preserve">.</w:t>
      </w:r>
    </w:p>
    <w:p>
      <w:pPr>
        <w:pStyle w:val="BodyText"/>
      </w:pPr>
      <w:r>
        <w:rPr>
          <w:b/>
          <w:bCs/>
        </w:rPr>
        <w:t xml:space="preserve">97.</w:t>
      </w:r>
      <w:r>
        <w:t xml:space="preserve"> </w:t>
      </w:r>
      <w:r>
        <w:t xml:space="preserve">The joint pattern between mean selected age and dynamic</w:t>
      </w:r>
      <w:r>
        <w:t xml:space="preserve"> </w:t>
      </w:r>
      <m:oMath>
        <m:sSub>
          <m:e>
            <m:r>
              <m:t>F</m:t>
            </m:r>
          </m:e>
          <m:sub>
            <m:r>
              <m:t>M</m:t>
            </m:r>
            <m:r>
              <m:t>S</m:t>
            </m:r>
            <m:r>
              <m:t>Y</m:t>
            </m:r>
          </m:sub>
        </m:sSub>
      </m:oMath>
      <w:r>
        <w:t xml:space="preserve"> </w:t>
      </w:r>
      <w:r>
        <w:t xml:space="preserve">for these same models is shown in</w:t>
      </w:r>
      <w:r>
        <w:t xml:space="preserve"> </w:t>
      </w:r>
      <w:hyperlink w:anchor="fig-mean-selected-age-fmsy">
        <w:r>
          <w:rPr>
            <w:rStyle w:val="Hyperlink"/>
          </w:rPr>
          <w:t xml:space="preserve">Figure 20</w:t>
        </w:r>
      </w:hyperlink>
      <w:r>
        <w:t xml:space="preserve">. These phase-space style trajectories help make clear how time-varying fishery selectivity can directly influence recent-year</w:t>
      </w:r>
      <w:r>
        <w:t xml:space="preserve"> </w:t>
      </w:r>
      <m:oMath>
        <m:sSub>
          <m:e>
            <m:r>
              <m:t>F</m:t>
            </m:r>
          </m:e>
          <m:sub>
            <m:r>
              <m:t>M</m:t>
            </m:r>
            <m:r>
              <m:t>S</m:t>
            </m:r>
            <m:r>
              <m:t>Y</m:t>
            </m:r>
          </m:sub>
        </m:sSub>
      </m:oMath>
      <w:r>
        <w:t xml:space="preserve"> </w:t>
      </w:r>
      <w:r>
        <w:t xml:space="preserve">estimates, rather than reflecting only changes in underlying stock productivity. For MSE-oriented reference-point workflows, this also supports using period means (for example, recent multi-year averages of selectivity and related schedules) as a practical way to stabilize reference-point calculations.</w:t>
      </w:r>
    </w:p>
    <w:tbl>
      <w:tblPr>
        <w:tblStyle w:val="Table"/>
        <w:tblW w:type="pct" w:w="5000"/>
        <w:tblLayout w:type="fixed"/>
        <w:tblLook w:firstRow="0" w:lastRow="0" w:firstColumn="0" w:lastColumn="0" w:noHBand="0" w:noVBand="0" w:val="0000"/>
      </w:tblPr>
      <w:tblGrid>
        <w:gridCol w:w="7920"/>
      </w:tblGrid>
      <w:tr>
        <w:tc>
          <w:tcPr/>
          <w:bookmarkStart w:id="147" w:name="fig-mean-selected-age-fmsy"/>
          <w:p>
            <w:pPr>
              <w:pStyle w:val="Compact"/>
              <w:jc w:val="center"/>
            </w:pPr>
            <w:r>
              <w:drawing>
                <wp:inline>
                  <wp:extent cx="5334000" cy="4000500"/>
                  <wp:effectExtent b="0" l="0" r="0" t="0"/>
                  <wp:docPr descr="" title="" id="145" name="Picture"/>
                  <a:graphic>
                    <a:graphicData uri="http://schemas.openxmlformats.org/drawingml/2006/picture">
                      <pic:pic>
                        <pic:nvPicPr>
                          <pic:cNvPr descr="SCW16-Paper-01_files/figure-docx/fig-mean-selected-age-fmsy-1.png" id="146" name="Picture"/>
                          <pic:cNvPicPr>
                            <a:picLocks noChangeArrowheads="1" noChangeAspect="1"/>
                          </pic:cNvPicPr>
                        </pic:nvPicPr>
                        <pic:blipFill>
                          <a:blip r:embed="rId144"/>
                          <a:stretch>
                            <a:fillRect/>
                          </a:stretch>
                        </pic:blipFill>
                        <pic:spPr bwMode="auto">
                          <a:xfrm>
                            <a:off x="0" y="0"/>
                            <a:ext cx="5334000" cy="4000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20: Relationship between mean selected age (x-axis) and dynamic</w:t>
            </w:r>
            <w:r>
              <w:t xml:space="preserve"> </w:t>
            </w:r>
            <m:oMath>
              <m:sSub>
                <m:e>
                  <m:r>
                    <m:t>F</m:t>
                  </m:r>
                </m:e>
                <m:sub>
                  <m:r>
                    <m:t>M</m:t>
                  </m:r>
                  <m:r>
                    <m:t>S</m:t>
                  </m:r>
                  <m:r>
                    <m:t>Y</m:t>
                  </m:r>
                </m:sub>
              </m:sSub>
            </m:oMath>
            <w:r>
              <w:t xml:space="preserve"> </w:t>
            </w:r>
            <w:r>
              <w:t xml:space="preserve">(y-axis) for</w:t>
            </w:r>
            <w:r>
              <w:t xml:space="preserve"> </w:t>
            </w:r>
            <w:r>
              <w:rPr>
                <w:rStyle w:val="VerbatimChar"/>
              </w:rPr>
              <w:t xml:space="preserve">h1_2.00</w:t>
            </w:r>
            <w:r>
              <w:t xml:space="preserve">,</w:t>
            </w:r>
            <w:r>
              <w:t xml:space="preserve"> </w:t>
            </w:r>
            <w:r>
              <w:rPr>
                <w:rStyle w:val="VerbatimChar"/>
              </w:rPr>
              <w:t xml:space="preserve">h1_2.01</w:t>
            </w:r>
            <w:r>
              <w:t xml:space="preserve">,</w:t>
            </w:r>
            <w:r>
              <w:t xml:space="preserve"> </w:t>
            </w:r>
            <w:r>
              <w:rPr>
                <w:rStyle w:val="VerbatimChar"/>
              </w:rPr>
              <w:t xml:space="preserve">h1_2.01.1</w:t>
            </w:r>
            <w:r>
              <w:t xml:space="preserve">, and</w:t>
            </w:r>
            <w:r>
              <w:t xml:space="preserve"> </w:t>
            </w:r>
            <w:r>
              <w:rPr>
                <w:rStyle w:val="VerbatimChar"/>
              </w:rPr>
              <w:t xml:space="preserve">h1_2.01.2</w:t>
            </w:r>
            <w:r>
              <w:t xml:space="preserve">. Points are colored by year and labeled with year.</w:t>
            </w:r>
          </w:p>
          <w:bookmarkEnd w:id="147"/>
        </w:tc>
      </w:tr>
    </w:tbl>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48" name="Picture"/>
                  <a:graphic>
                    <a:graphicData uri="http://schemas.openxmlformats.org/drawingml/2006/picture">
                      <pic:pic>
                        <pic:nvPicPr>
                          <pic:cNvPr descr="/Applications/quarto/share/formats/docx/note.png" id="149" name="Picture"/>
                          <pic:cNvPicPr>
                            <a:picLocks noChangeArrowheads="1" noChangeAspect="1"/>
                          </pic:cNvPicPr>
                        </pic:nvPicPr>
                        <pic:blipFill>
                          <a:blip r:embed="rId3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 (I. Mosqueira)</w:t>
            </w:r>
          </w:p>
        </w:tc>
      </w:tr>
      <w:tr>
        <w:trPr>
          <w:cantSplit/>
        </w:trPr>
        <w:tc>
          <w:tcPr>
            <w:tcMar>
              <w:top w:w="108" w:type="dxa"/>
              <w:bottom w:w="108" w:type="dxa"/>
            </w:tcMar>
          </w:tcPr>
          <w:p>
            <w:pPr>
              <w:pStyle w:val="BodyText"/>
            </w:pPr>
            <w:pPr>
              <w:spacing w:before="16" w:after="16"/>
            </w:pPr>
            <w:r>
              <w:rPr>
                <w:b/>
                <w:bCs/>
              </w:rPr>
              <w:t xml:space="preserve">98.</w:t>
            </w:r>
            <w:r>
              <w:t xml:space="preserve"> </w:t>
            </w:r>
            <w:r>
              <w:t xml:space="preserve">If the simplified selectivity alternative adopts block-based selectivity, then reference points should probably</w:t>
            </w:r>
            <w:r>
              <w:t xml:space="preserve"> </w:t>
            </w:r>
            <w:r>
              <w:t xml:space="preserve">be calculated using the selectivity pattern from the</w:t>
            </w:r>
            <w:r>
              <w:t xml:space="preserve"> </w:t>
            </w:r>
            <w:r>
              <w:rPr>
                <w:b/>
                <w:bCs/>
              </w:rPr>
              <w:t xml:space="preserve">final block period</w:t>
            </w:r>
            <w:r>
              <w:t xml:space="preserve"> </w:t>
            </w:r>
            <w:r>
              <w:t xml:space="preserve">for all future projections.</w:t>
            </w:r>
            <w:r>
              <w:t xml:space="preserve"> </w:t>
            </w:r>
            <w:r>
              <w:t xml:space="preserve">This is internally consistent: the operating model should use the same selectivity</w:t>
            </w:r>
            <w:r>
              <w:t xml:space="preserve"> </w:t>
            </w:r>
            <w:r>
              <w:t xml:space="preserve">for calculating</w:t>
            </w:r>
            <w:r>
              <w:t xml:space="preserve"> </w:t>
            </w:r>
            <m:oMath>
              <m:sSub>
                <m:e>
                  <m:r>
                    <m:t>F</m:t>
                  </m:r>
                </m:e>
                <m:sub>
                  <m:r>
                    <m:t>M</m:t>
                  </m:r>
                  <m:r>
                    <m:t>S</m:t>
                  </m:r>
                  <m:r>
                    <m:t>Y</m:t>
                  </m:r>
                </m:sub>
              </m:sSub>
            </m:oMath>
            <w:r>
              <w:t xml:space="preserve"> </w:t>
            </w:r>
            <w:r>
              <w:t xml:space="preserve">and</w:t>
            </w:r>
            <w:r>
              <w:t xml:space="preserve"> </w:t>
            </w:r>
            <m:oMath>
              <m:sSub>
                <m:e>
                  <m:r>
                    <m:t>B</m:t>
                  </m:r>
                </m:e>
                <m:sub>
                  <m:r>
                    <m:t>M</m:t>
                  </m:r>
                  <m:r>
                    <m:t>S</m:t>
                  </m:r>
                  <m:r>
                    <m:t>Y</m:t>
                  </m:r>
                </m:sub>
              </m:sSub>
            </m:oMath>
            <w:r>
              <w:t xml:space="preserve"> </w:t>
            </w:r>
            <w:r>
              <w:t xml:space="preserve">as it uses for projecting future mortality.</w:t>
            </w:r>
            <w:r>
              <w:t xml:space="preserve"> </w:t>
            </w:r>
            <w:r>
              <w:t xml:space="preserve">Using the last block’s selectivity as the reference configuration avoids the problem of</w:t>
            </w:r>
            <w:r>
              <w:t xml:space="preserve"> </w:t>
            </w:r>
            <w:r>
              <w:t xml:space="preserve">reference points shifting mid-simulation as selectivity changes, and it is analogous</w:t>
            </w:r>
            <w:r>
              <w:t xml:space="preserve"> </w:t>
            </w:r>
            <w:r>
              <w:t xml:space="preserve">to the fixed-reference-point convention already applied in several RFMO MSE programmes.</w:t>
            </w:r>
          </w:p>
          <w:p/>
        </w:tc>
      </w:tr>
    </w:tbl>
    <w:p>
      <w:pPr>
        <w:pStyle w:val="BodyText"/>
      </w:pPr>
      <w:r>
        <w:rPr>
          <w:b/>
          <w:bCs/>
        </w:rPr>
        <w:t xml:space="preserve">99.</w:t>
      </w:r>
      <w:r>
        <w:t xml:space="preserve"> </w:t>
      </w:r>
      <w:r>
        <w:t xml:space="preserve">The recommended approach is therefore to calculate reference points once, using the terminal selectivity block and the current biological schedules, and use those fixed values as management benchmarks throughout the MSE simulation. Sensitivity to the choice of reference period can be examined as part of robustness testing.</w:t>
      </w:r>
    </w:p>
    <w:bookmarkEnd w:id="150"/>
    <w:bookmarkEnd w:id="151"/>
    <w:bookmarkStart w:id="152" w:name="summary"/>
    <w:p>
      <w:pPr>
        <w:pStyle w:val="Heading1"/>
      </w:pPr>
      <w:r>
        <w:t xml:space="preserve">7. Summary</w:t>
      </w:r>
    </w:p>
    <w:p>
      <w:pPr>
        <w:pStyle w:val="FirstParagraph"/>
      </w:pPr>
      <w:r>
        <w:rPr>
          <w:b/>
          <w:bCs/>
        </w:rPr>
        <w:t xml:space="preserve">100.</w:t>
      </w:r>
      <w:r>
        <w:t xml:space="preserve"> </w:t>
      </w:r>
      <w:r>
        <w:t xml:space="preserve">The evaluations presented here are intended as discussion items leading into the benchmark workshop, but some clearer conclusions now emerge from the fitted alternatives:</w:t>
      </w:r>
    </w:p>
    <w:p>
      <w:pPr>
        <w:pStyle w:val="Compact"/>
        <w:numPr>
          <w:ilvl w:val="0"/>
          <w:numId w:val="1011"/>
        </w:numPr>
      </w:pPr>
      <w:r>
        <w:rPr>
          <w:b/>
          <w:bCs/>
        </w:rPr>
        <w:t xml:space="preserve">The reduced-index simplification is a defensible starting point.</w:t>
      </w:r>
      <w:r>
        <w:t xml:space="preserve"> </w:t>
      </w:r>
      <w:r>
        <w:t xml:space="preserve">Relative to</w:t>
      </w:r>
      <w:r>
        <w:t xml:space="preserve"> </w:t>
      </w:r>
      <w:r>
        <w:rPr>
          <w:rStyle w:val="VerbatimChar"/>
        </w:rPr>
        <w:t xml:space="preserve">h1_1.14</w:t>
      </w:r>
      <w:r>
        <w:t xml:space="preserve">, model</w:t>
      </w:r>
      <w:r>
        <w:t xml:space="preserve"> </w:t>
      </w:r>
      <w:r>
        <w:rPr>
          <w:rStyle w:val="VerbatimChar"/>
        </w:rPr>
        <w:t xml:space="preserve">h1_2.00</w:t>
      </w:r>
      <w:r>
        <w:t xml:space="preserve"> </w:t>
      </w:r>
      <w:r>
        <w:t xml:space="preserve">stays close to the SC13 assessment picture while removing the discontinued or less comparable index series. For the retained comparable indices, this reduction generally improves or at least preserves fit, with Acoustic North remaining the main unresolved tension.</w:t>
      </w:r>
    </w:p>
    <w:p>
      <w:pPr>
        <w:pStyle w:val="Compact"/>
        <w:numPr>
          <w:ilvl w:val="0"/>
          <w:numId w:val="1011"/>
        </w:numPr>
      </w:pPr>
      <w:r>
        <w:rPr>
          <w:b/>
          <w:bCs/>
        </w:rPr>
        <w:t xml:space="preserve">A broad fishery-block simplification is too restrictive if applied everywhere at once.</w:t>
      </w:r>
      <w:r>
        <w:t xml:space="preserve"> </w:t>
      </w:r>
      <w:r>
        <w:t xml:space="preserve">Model</w:t>
      </w:r>
      <w:r>
        <w:t xml:space="preserve"> </w:t>
      </w:r>
      <w:r>
        <w:rPr>
          <w:rStyle w:val="VerbatimChar"/>
        </w:rPr>
        <w:t xml:space="preserve">h1_2.01</w:t>
      </w:r>
      <w:r>
        <w:t xml:space="preserve"> </w:t>
      </w:r>
      <w:r>
        <w:t xml:space="preserve">worsens the fit across multiple observation types simultaneously, including retained indices, fishery length compositions, and especially the South-Central Chile and North Chile age compositions. That is a stronger degradation than would be desirable for a primary operating-model simplification.</w:t>
      </w:r>
    </w:p>
    <w:p>
      <w:pPr>
        <w:pStyle w:val="Compact"/>
        <w:numPr>
          <w:ilvl w:val="0"/>
          <w:numId w:val="1011"/>
        </w:numPr>
      </w:pPr>
      <w:r>
        <w:rPr>
          <w:b/>
          <w:bCs/>
        </w:rPr>
        <w:t xml:space="preserve">The South-Central Chile fishery is the main driver of that deterioration.</w:t>
      </w:r>
      <w:r>
        <w:t xml:space="preserve"> </w:t>
      </w:r>
      <w:r>
        <w:t xml:space="preserve">Restoring annual selectivity flexibility only for that fleet in</w:t>
      </w:r>
      <w:r>
        <w:t xml:space="preserve"> </w:t>
      </w:r>
      <w:r>
        <w:rPr>
          <w:rStyle w:val="VerbatimChar"/>
        </w:rPr>
        <w:t xml:space="preserve">h1_2.01.1</w:t>
      </w:r>
      <w:r>
        <w:t xml:space="preserve"> </w:t>
      </w:r>
      <w:r>
        <w:t xml:space="preserve">recovers much of the lost fit and pulls the spawning biomass trajectory back toward</w:t>
      </w:r>
      <w:r>
        <w:t xml:space="preserve"> </w:t>
      </w:r>
      <w:r>
        <w:rPr>
          <w:rStyle w:val="VerbatimChar"/>
        </w:rPr>
        <w:t xml:space="preserve">h1_2.00</w:t>
      </w:r>
      <w:r>
        <w:t xml:space="preserve">. By contrast, the five-block alternative</w:t>
      </w:r>
      <w:r>
        <w:t xml:space="preserve"> </w:t>
      </w:r>
      <w:r>
        <w:rPr>
          <w:rStyle w:val="VerbatimChar"/>
        </w:rPr>
        <w:t xml:space="preserve">h1_2.01.2</w:t>
      </w:r>
      <w:r>
        <w:t xml:space="preserve"> </w:t>
      </w:r>
      <w:r>
        <w:t xml:space="preserve">remains too restrictive: it gives back much of the gain in fit, behaves more like</w:t>
      </w:r>
      <w:r>
        <w:t xml:space="preserve"> </w:t>
      </w:r>
      <w:r>
        <w:rPr>
          <w:rStyle w:val="VerbatimChar"/>
        </w:rPr>
        <w:t xml:space="preserve">h1_2.01</w:t>
      </w:r>
      <w:r>
        <w:t xml:space="preserve"> </w:t>
      </w:r>
      <w:r>
        <w:t xml:space="preserve">than</w:t>
      </w:r>
      <w:r>
        <w:t xml:space="preserve"> </w:t>
      </w:r>
      <w:r>
        <w:rPr>
          <w:rStyle w:val="VerbatimChar"/>
        </w:rPr>
        <w:t xml:space="preserve">h1_2.01.1</w:t>
      </w:r>
      <w:r>
        <w:t xml:space="preserve">, and leaves broader terminal spawning-biomass uncertainty.</w:t>
      </w:r>
    </w:p>
    <w:p>
      <w:pPr>
        <w:pStyle w:val="Compact"/>
        <w:numPr>
          <w:ilvl w:val="0"/>
          <w:numId w:val="1011"/>
        </w:numPr>
      </w:pPr>
      <w:r>
        <w:rPr>
          <w:b/>
          <w:bCs/>
        </w:rPr>
        <w:t xml:space="preserve">Allowing time-varying index catchability can recover retained-index fit, but it changes where the flexibility sits.</w:t>
      </w:r>
      <w:r>
        <w:t xml:space="preserve"> </w:t>
      </w:r>
      <w:r>
        <w:t xml:space="preserve">Model</w:t>
      </w:r>
      <w:r>
        <w:t xml:space="preserve"> </w:t>
      </w:r>
      <w:r>
        <w:rPr>
          <w:rStyle w:val="VerbatimChar"/>
        </w:rPr>
        <w:t xml:space="preserve">h1_2.01.3</w:t>
      </w:r>
      <w:r>
        <w:t xml:space="preserve"> </w:t>
      </w:r>
      <w:r>
        <w:t xml:space="preserve">gives the best retained comparable index fit among the</w:t>
      </w:r>
      <w:r>
        <w:t xml:space="preserve"> </w:t>
      </w:r>
      <w:r>
        <w:rPr>
          <w:rStyle w:val="VerbatimChar"/>
        </w:rPr>
        <w:t xml:space="preserve">h1_2.01</w:t>
      </w:r>
      <w:r>
        <w:t xml:space="preserve">-based variants and shows that part of the tension can be absorbed by drifting q. However, it does so by moving flexibility from selectivity into time-varying catchability, with a lower terminal spawning-biomass distribution than the other S-C Chile variants. That makes</w:t>
      </w:r>
      <w:r>
        <w:t xml:space="preserve"> </w:t>
      </w:r>
      <w:r>
        <w:rPr>
          <w:rStyle w:val="VerbatimChar"/>
        </w:rPr>
        <w:t xml:space="preserve">h1_2.01.3</w:t>
      </w:r>
      <w:r>
        <w:t xml:space="preserve"> </w:t>
      </w:r>
      <w:r>
        <w:t xml:space="preserve">more persuasive as a robustness case than as a primary operating-model simplification.</w:t>
      </w:r>
    </w:p>
    <w:p>
      <w:pPr>
        <w:pStyle w:val="Compact"/>
        <w:numPr>
          <w:ilvl w:val="0"/>
          <w:numId w:val="1011"/>
        </w:numPr>
      </w:pPr>
      <w:r>
        <w:rPr>
          <w:b/>
          <w:bCs/>
        </w:rPr>
        <w:t xml:space="preserve">Far North selectivity harmonization is worthwhile before comparing</w:t>
      </w:r>
      <w:r>
        <w:rPr>
          <w:b/>
          <w:bCs/>
        </w:rPr>
        <w:t xml:space="preserve"> </w:t>
      </w:r>
      <w:r>
        <w:rPr>
          <w:rStyle w:val="VerbatimChar"/>
          <w:b/>
          <w:bCs/>
        </w:rPr>
        <w:t xml:space="preserve">h1</w:t>
      </w:r>
      <w:r>
        <w:rPr>
          <w:b/>
          <w:bCs/>
        </w:rPr>
        <w:t xml:space="preserve"> </w:t>
      </w:r>
      <w:r>
        <w:rPr>
          <w:b/>
          <w:bCs/>
        </w:rPr>
        <w:t xml:space="preserve">and</w:t>
      </w:r>
      <w:r>
        <w:rPr>
          <w:b/>
          <w:bCs/>
        </w:rPr>
        <w:t xml:space="preserve"> </w:t>
      </w:r>
      <w:r>
        <w:rPr>
          <w:rStyle w:val="VerbatimChar"/>
          <w:b/>
          <w:bCs/>
        </w:rPr>
        <w:t xml:space="preserve">h2</w:t>
      </w:r>
      <w:r>
        <w:rPr>
          <w:b/>
          <w:bCs/>
        </w:rPr>
        <w:t xml:space="preserve">, and should be judged on dynamics as well as fit.</w:t>
      </w:r>
      <w:r>
        <w:t xml:space="preserve"> </w:t>
      </w:r>
      <w:r>
        <w:t xml:space="preserve">The harmonized single-stock model</w:t>
      </w:r>
      <w:r>
        <w:t xml:space="preserve"> </w:t>
      </w:r>
      <w:r>
        <w:rPr>
          <w:rStyle w:val="VerbatimChar"/>
        </w:rPr>
        <w:t xml:space="preserve">h1_2.02</w:t>
      </w:r>
      <w:r>
        <w:t xml:space="preserve"> </w:t>
      </w:r>
      <w:r>
        <w:t xml:space="preserve">stays broadly close to</w:t>
      </w:r>
      <w:r>
        <w:t xml:space="preserve"> </w:t>
      </w:r>
      <w:r>
        <w:rPr>
          <w:rStyle w:val="VerbatimChar"/>
        </w:rPr>
        <w:t xml:space="preserve">h1_2.00</w:t>
      </w:r>
      <w:r>
        <w:t xml:space="preserve">, while</w:t>
      </w:r>
      <w:r>
        <w:t xml:space="preserve"> </w:t>
      </w:r>
      <w:r>
        <w:rPr>
          <w:rStyle w:val="VerbatimChar"/>
        </w:rPr>
        <w:t xml:space="preserve">h2_2.02</w:t>
      </w:r>
      <w:r>
        <w:t xml:space="preserve"> </w:t>
      </w:r>
      <w:r>
        <w:t xml:space="preserve">provides a cleaner two-stock comparator because it uses the same reduced-index data treatment and aligned Far North selectivity structure. The</w:t>
      </w:r>
      <w:r>
        <w:t xml:space="preserve"> </w:t>
      </w:r>
      <w:r>
        <w:rPr>
          <w:rStyle w:val="VerbatimChar"/>
        </w:rPr>
        <w:t xml:space="preserve">h1_2.02</w:t>
      </w:r>
      <w:r>
        <w:t xml:space="preserve"> </w:t>
      </w:r>
      <w:r>
        <w:t xml:space="preserve">versus</w:t>
      </w:r>
      <w:r>
        <w:t xml:space="preserve"> </w:t>
      </w:r>
      <w:r>
        <w:rPr>
          <w:rStyle w:val="VerbatimChar"/>
        </w:rPr>
        <w:t xml:space="preserve">h2_2.02</w:t>
      </w:r>
      <w:r>
        <w:t xml:space="preserve"> </w:t>
      </w:r>
      <w:r>
        <w:t xml:space="preserve">contrast should therefore be interpreted using likelihoods together with spawning biomass and recruitment trajectories, not likelihoods alone.</w:t>
      </w:r>
    </w:p>
    <w:p>
      <w:pPr>
        <w:pStyle w:val="Compact"/>
        <w:numPr>
          <w:ilvl w:val="0"/>
          <w:numId w:val="1011"/>
        </w:numPr>
      </w:pPr>
      <w:r>
        <w:rPr>
          <w:b/>
          <w:bCs/>
          <w:highlight w:val="yellow"/>
        </w:rPr>
        <w:t xml:space="preserve">The Far North recruitment-regime structure should remain a benchmark axis, with the single-regime version retained as a diagnostic sensitivity.</w:t>
      </w:r>
      <w:r>
        <w:rPr>
          <w:highlight w:val="yellow"/>
        </w:rPr>
        <w:t xml:space="preserve"> </w:t>
      </w:r>
      <w:r>
        <w:rPr>
          <w:highlight w:val="yellow"/>
        </w:rPr>
        <w:t xml:space="preserve">Model</w:t>
      </w:r>
      <w:r>
        <w:rPr>
          <w:highlight w:val="yellow"/>
        </w:rPr>
        <w:t xml:space="preserve"> </w:t>
      </w:r>
      <w:r>
        <w:rPr>
          <w:rStyle w:val="VerbatimChar"/>
          <w:highlight w:val="yellow"/>
        </w:rPr>
        <w:t xml:space="preserve">h2_2.03</w:t>
      </w:r>
      <w:r>
        <w:rPr>
          <w:highlight w:val="yellow"/>
        </w:rPr>
        <w:t xml:space="preserve"> </w:t>
      </w:r>
      <w:r>
        <w:rPr>
          <w:highlight w:val="yellow"/>
        </w:rPr>
        <w:t xml:space="preserve">converges cleanly and only modestly worsens the objective function relative to</w:t>
      </w:r>
      <w:r>
        <w:rPr>
          <w:highlight w:val="yellow"/>
        </w:rPr>
        <w:t xml:space="preserve"> </w:t>
      </w:r>
      <w:r>
        <w:rPr>
          <w:rStyle w:val="VerbatimChar"/>
          <w:highlight w:val="yellow"/>
        </w:rPr>
        <w:t xml:space="preserve">h2_2.02</w:t>
      </w:r>
      <w:r>
        <w:rPr>
          <w:highlight w:val="yellow"/>
        </w:rPr>
        <w:t xml:space="preserve">, so a single stock-2 relationship is computationally workable. However, the external evidence for a late-1990s productivity shift in the northern Humboldt system argues against treating this collapse as the preferred benchmark simplification. The stock-recruitment comparison also makes clearer that</w:t>
      </w:r>
      <w:r>
        <w:rPr>
          <w:highlight w:val="yellow"/>
        </w:rPr>
        <w:t xml:space="preserve"> </w:t>
      </w:r>
      <w:r>
        <w:rPr>
          <w:rStyle w:val="VerbatimChar"/>
          <w:highlight w:val="yellow"/>
        </w:rPr>
        <w:t xml:space="preserve">h2_1.14</w:t>
      </w:r>
      <w:r>
        <w:rPr>
          <w:highlight w:val="yellow"/>
        </w:rPr>
        <w:t xml:space="preserve"> </w:t>
      </w:r>
      <w:r>
        <w:rPr>
          <w:highlight w:val="yellow"/>
        </w:rPr>
        <w:t xml:space="preserve">and</w:t>
      </w:r>
      <w:r>
        <w:rPr>
          <w:highlight w:val="yellow"/>
        </w:rPr>
        <w:t xml:space="preserve"> </w:t>
      </w:r>
      <w:r>
        <w:rPr>
          <w:rStyle w:val="VerbatimChar"/>
          <w:highlight w:val="yellow"/>
        </w:rPr>
        <w:t xml:space="preserve">h2_2.02</w:t>
      </w:r>
      <w:r>
        <w:rPr>
          <w:highlight w:val="yellow"/>
        </w:rPr>
        <w:t xml:space="preserve"> </w:t>
      </w:r>
      <w:r>
        <w:rPr>
          <w:highlight w:val="yellow"/>
        </w:rPr>
        <w:t xml:space="preserve">estimated stock-2 relationships using restricted hatch-year windows and omitted hatch years</w:t>
      </w:r>
      <w:r>
        <w:rPr>
          <w:highlight w:val="yellow"/>
        </w:rPr>
        <w:t xml:space="preserve"> </w:t>
      </w:r>
      <w:r>
        <w:rPr>
          <w:rStyle w:val="VerbatimChar"/>
          <w:highlight w:val="yellow"/>
        </w:rPr>
        <w:t xml:space="preserve">1997-2000</w:t>
      </w:r>
      <w:r>
        <w:rPr>
          <w:highlight w:val="yellow"/>
        </w:rPr>
        <w:t xml:space="preserve">, whereas</w:t>
      </w:r>
      <w:r>
        <w:rPr>
          <w:highlight w:val="yellow"/>
        </w:rPr>
        <w:t xml:space="preserve"> </w:t>
      </w:r>
      <w:r>
        <w:rPr>
          <w:rStyle w:val="VerbatimChar"/>
          <w:highlight w:val="yellow"/>
        </w:rPr>
        <w:t xml:space="preserve">h2_2.03</w:t>
      </w:r>
      <w:r>
        <w:rPr>
          <w:highlight w:val="yellow"/>
        </w:rPr>
        <w:t xml:space="preserve"> </w:t>
      </w:r>
      <w:r>
        <w:rPr>
          <w:highlight w:val="yellow"/>
        </w:rPr>
        <w:t xml:space="preserve">removes that gap by fitting one relationship across the combined period. The choice is therefore not only about the number of regimes; it also changes which years are allowed to inform the fitted stock-2 stock-recruitment relationship.</w:t>
      </w:r>
    </w:p>
    <w:p>
      <w:pPr>
        <w:pStyle w:val="Compact"/>
        <w:numPr>
          <w:ilvl w:val="0"/>
          <w:numId w:val="1011"/>
        </w:numPr>
      </w:pPr>
      <w:r>
        <w:rPr>
          <w:b/>
          <w:bCs/>
        </w:rPr>
        <w:t xml:space="preserve">The strongest current operating-model candidates are now better defined.</w:t>
      </w:r>
      <w:r>
        <w:t xml:space="preserve"> </w:t>
      </w:r>
      <w:r>
        <w:rPr>
          <w:rStyle w:val="VerbatimChar"/>
        </w:rPr>
        <w:t xml:space="preserve">h1_2.00</w:t>
      </w:r>
      <w:r>
        <w:t xml:space="preserve"> </w:t>
      </w:r>
      <w:r>
        <w:t xml:space="preserve">remains a sensible reduced-data baseline,</w:t>
      </w:r>
      <w:r>
        <w:t xml:space="preserve"> </w:t>
      </w:r>
      <w:r>
        <w:rPr>
          <w:rStyle w:val="VerbatimChar"/>
        </w:rPr>
        <w:t xml:space="preserve">h1_2.01.1</w:t>
      </w:r>
      <w:r>
        <w:t xml:space="preserve"> </w:t>
      </w:r>
      <w:r>
        <w:t xml:space="preserve">is the strongest single-stock selectivity simplification tested so far, and</w:t>
      </w:r>
      <w:r>
        <w:t xml:space="preserve"> </w:t>
      </w:r>
      <w:r>
        <w:rPr>
          <w:rStyle w:val="VerbatimChar"/>
        </w:rPr>
        <w:t xml:space="preserve">h1_2.02</w:t>
      </w:r>
      <w:r>
        <w:t xml:space="preserve"> </w:t>
      </w:r>
      <w:r>
        <w:t xml:space="preserve">versus</w:t>
      </w:r>
      <w:r>
        <w:t xml:space="preserve"> </w:t>
      </w:r>
      <w:r>
        <w:rPr>
          <w:rStyle w:val="VerbatimChar"/>
        </w:rPr>
        <w:t xml:space="preserve">h2_2.02</w:t>
      </w:r>
      <w:r>
        <w:t xml:space="preserve"> </w:t>
      </w:r>
      <w:r>
        <w:t xml:space="preserve">provide the most interpretable harmonized single-stock versus two-stock comparison.</w:t>
      </w:r>
      <w:r>
        <w:t xml:space="preserve"> </w:t>
      </w:r>
      <w:r>
        <w:rPr>
          <w:rStyle w:val="VerbatimChar"/>
        </w:rPr>
        <w:t xml:space="preserve">h1_2.01.3</w:t>
      </w:r>
      <w:r>
        <w:t xml:space="preserve"> </w:t>
      </w:r>
      <w:r>
        <w:t xml:space="preserve">is valuable, but primarily as a robustness test for index-standardization and q-variability assumptions.</w:t>
      </w:r>
    </w:p>
    <w:p>
      <w:pPr>
        <w:pStyle w:val="Compact"/>
        <w:numPr>
          <w:ilvl w:val="0"/>
          <w:numId w:val="1011"/>
        </w:numPr>
      </w:pPr>
      <w:r>
        <w:rPr>
          <w:b/>
          <w:bCs/>
        </w:rPr>
        <w:t xml:space="preserve">The mean-selected-age versus</w:t>
      </w:r>
      <w:r>
        <w:rPr>
          <w:b/>
          <w:bCs/>
        </w:rPr>
        <w:t xml:space="preserve"> </w:t>
      </w:r>
      <m:oMath>
        <m:sSub>
          <m:e>
            <m:r>
              <m:t>F</m:t>
            </m:r>
          </m:e>
          <m:sub>
            <m:r>
              <m:t>M</m:t>
            </m:r>
            <m:r>
              <m:t>S</m:t>
            </m:r>
            <m:r>
              <m:t>Y</m:t>
            </m:r>
          </m:sub>
        </m:sSub>
      </m:oMath>
      <w:r>
        <w:rPr>
          <w:b/>
          <w:bCs/>
        </w:rPr>
        <w:t xml:space="preserve"> </w:t>
      </w:r>
      <w:r>
        <w:rPr>
          <w:b/>
          <w:bCs/>
        </w:rPr>
        <w:t xml:space="preserve">diagnostic adds a clear selectivity signal.</w:t>
      </w:r>
      <w:r>
        <w:t xml:space="preserve"> </w:t>
      </w:r>
      <w:r>
        <w:t xml:space="preserve">The phase-space comparison across</w:t>
      </w:r>
      <w:r>
        <w:t xml:space="preserve"> </w:t>
      </w:r>
      <w:r>
        <w:rPr>
          <w:rStyle w:val="VerbatimChar"/>
        </w:rPr>
        <w:t xml:space="preserve">h1_2.00</w:t>
      </w:r>
      <w:r>
        <w:t xml:space="preserve">,</w:t>
      </w:r>
      <w:r>
        <w:t xml:space="preserve"> </w:t>
      </w:r>
      <w:r>
        <w:rPr>
          <w:rStyle w:val="VerbatimChar"/>
        </w:rPr>
        <w:t xml:space="preserve">h1_2.01</w:t>
      </w:r>
      <w:r>
        <w:t xml:space="preserve">,</w:t>
      </w:r>
      <w:r>
        <w:t xml:space="preserve"> </w:t>
      </w:r>
      <w:r>
        <w:rPr>
          <w:rStyle w:val="VerbatimChar"/>
        </w:rPr>
        <w:t xml:space="preserve">h1_2.01.1</w:t>
      </w:r>
      <w:r>
        <w:t xml:space="preserve">, and</w:t>
      </w:r>
      <w:r>
        <w:t xml:space="preserve"> </w:t>
      </w:r>
      <w:r>
        <w:rPr>
          <w:rStyle w:val="VerbatimChar"/>
        </w:rPr>
        <w:t xml:space="preserve">h1_2.01.2</w:t>
      </w:r>
      <w:r>
        <w:t xml:space="preserve"> </w:t>
      </w:r>
      <w:r>
        <w:t xml:space="preserve">shows that shifts in fishery selectivity can move recent-year dynamic</w:t>
      </w:r>
      <w:r>
        <w:t xml:space="preserve"> </w:t>
      </w:r>
      <m:oMath>
        <m:sSub>
          <m:e>
            <m:r>
              <m:t>F</m:t>
            </m:r>
          </m:e>
          <m:sub>
            <m:r>
              <m:t>M</m:t>
            </m:r>
            <m:r>
              <m:t>S</m:t>
            </m:r>
            <m:r>
              <m:t>Y</m:t>
            </m:r>
          </m:sub>
        </m:sSub>
      </m:oMath>
      <w:r>
        <w:t xml:space="preserve"> </w:t>
      </w:r>
      <w:r>
        <w:t xml:space="preserve">estimates directly, so apparent reference-point changes should not be interpreted as productivity changes alone.</w:t>
      </w:r>
    </w:p>
    <w:p>
      <w:pPr>
        <w:pStyle w:val="Compact"/>
        <w:numPr>
          <w:ilvl w:val="0"/>
          <w:numId w:val="1011"/>
        </w:numPr>
      </w:pPr>
      <w:r>
        <w:rPr>
          <w:b/>
          <w:bCs/>
        </w:rPr>
        <w:t xml:space="preserve">Reference-point stabilization should be treated as a core design choice for MSE.</w:t>
      </w:r>
      <w:r>
        <w:t xml:space="preserve"> </w:t>
      </w:r>
      <w:r>
        <w:t xml:space="preserve">Projection-period selectivity uncertainty should still be explored using averaging-window alternatives, but reference points are likely to be more stable and interpretable if calculated from period means (multi-year averaged selectivity and related schedules) and then fixed for simulation.</w:t>
      </w:r>
      <w:r>
        <w:t xml:space="preserve"> </w:t>
      </w:r>
      <w:r>
        <w:rPr>
          <w:highlight w:val="yellow"/>
        </w:rPr>
        <w:t xml:space="preserve">Far North productivity-regime structure should be treated as an explicit operating-model axis, and northern biology uncertainty and index-standardization choices remain natural later-phase candidates.</w:t>
      </w:r>
    </w:p>
    <w:p>
      <w:pPr>
        <w:pStyle w:val="FirstParagraph"/>
      </w:pPr>
      <w:r>
        <w:rPr>
          <w:b/>
          <w:bCs/>
        </w:rPr>
        <w:t xml:space="preserve">101.</w:t>
      </w:r>
      <w:r>
        <w:t xml:space="preserve"> </w:t>
      </w:r>
      <w:r>
        <w:t xml:space="preserve">Taken together, these results suggest that the next stage should focus less on broad additional simplification and more on selecting a compact set of well-motivated operating models and robustness scenarios. The current evidence points toward carrying forward a reduced-index baseline, a single-stock model that preserves South-Central Chile selectivity flexibility, a harmonized two-stock comparator, and targeted robustness cases for q variability, projection selectivity, and alternative stock-2 recruitment structure.</w:t>
      </w:r>
    </w:p>
    <w:bookmarkEnd w:id="152"/>
    <w:bookmarkStart w:id="162" w:name="appendix-compact-equation-summary"/>
    <w:p>
      <w:pPr>
        <w:pStyle w:val="Heading1"/>
      </w:pPr>
      <w:r>
        <w:t xml:space="preserve">Appendix: Compact Equation Summary</w:t>
      </w:r>
    </w:p>
    <w:p>
      <w:pPr>
        <w:pStyle w:val="FirstParagraph"/>
      </w:pPr>
      <w:r>
        <w:t xml:space="preserve">This appendix gives a compact schematic description of the equations underlying the SC13 Joint Jack Mackerel Model. It is intended to summarize the structure used in this working paper rather than to reproduce every implementation detail of the ADMB code or every option described in the technical annex and user guide.</w:t>
      </w:r>
    </w:p>
    <w:bookmarkStart w:id="153" w:name="notation"/>
    <w:p>
      <w:pPr>
        <w:pStyle w:val="Heading2"/>
      </w:pPr>
      <w:r>
        <w:t xml:space="preserve">7.1 Notation</w:t>
      </w:r>
    </w:p>
    <w:p>
      <w:pPr>
        <w:pStyle w:val="FirstParagraph"/>
      </w:pPr>
      <w:r>
        <w:t xml:space="preserve">Let</w:t>
      </w:r>
      <w:r>
        <w:t xml:space="preserve"> </w:t>
      </w:r>
      <m:oMath>
        <m:r>
          <m:t>s</m:t>
        </m:r>
      </m:oMath>
      <w:r>
        <w:t xml:space="preserve"> </w:t>
      </w:r>
      <w:r>
        <w:t xml:space="preserve">index stock,</w:t>
      </w:r>
      <w:r>
        <w:t xml:space="preserve"> </w:t>
      </w:r>
      <m:oMath>
        <m:r>
          <m:t>f</m:t>
        </m:r>
      </m:oMath>
      <w:r>
        <w:t xml:space="preserve"> </w:t>
      </w:r>
      <w:r>
        <w:t xml:space="preserve">fishery fleet,</w:t>
      </w:r>
      <w:r>
        <w:t xml:space="preserve"> </w:t>
      </w:r>
      <m:oMath>
        <m:r>
          <m:t>i</m:t>
        </m:r>
      </m:oMath>
      <w:r>
        <w:t xml:space="preserve"> </w:t>
      </w:r>
      <w:r>
        <w:t xml:space="preserve">abundance index,</w:t>
      </w:r>
      <w:r>
        <w:t xml:space="preserve"> </w:t>
      </w:r>
      <m:oMath>
        <m:r>
          <m:t>a</m:t>
        </m:r>
      </m:oMath>
      <w:r>
        <w:t xml:space="preserve"> </w:t>
      </w:r>
      <w:r>
        <w:t xml:space="preserve">age,</w:t>
      </w:r>
      <w:r>
        <w:t xml:space="preserve"> </w:t>
      </w:r>
      <m:oMath>
        <m:r>
          <m:t>l</m:t>
        </m:r>
      </m:oMath>
      <w:r>
        <w:t xml:space="preserve"> </w:t>
      </w:r>
      <w:r>
        <w:t xml:space="preserve">length bin, and</w:t>
      </w:r>
      <w:r>
        <w:t xml:space="preserve"> </w:t>
      </w:r>
      <m:oMath>
        <m:r>
          <m:t>y</m:t>
        </m:r>
      </m:oMath>
      <w:r>
        <w:t xml:space="preserve"> </w:t>
      </w:r>
      <w:r>
        <w:t xml:space="preserve">year. Let</w:t>
      </w:r>
      <w:r>
        <w:t xml:space="preserve"> </w:t>
      </w:r>
      <m:oMath>
        <m:r>
          <m:t>A</m:t>
        </m:r>
      </m:oMath>
      <w:r>
        <w:t xml:space="preserve"> </w:t>
      </w:r>
      <w:r>
        <w:t xml:space="preserve">denote the plus group age. The main state variable is numbers at age,</w:t>
      </w:r>
      <w:r>
        <w:t xml:space="preserve"> </w:t>
      </w:r>
      <m:oMath>
        <m:sSub>
          <m:e>
            <m:r>
              <m:t>N</m:t>
            </m:r>
          </m:e>
          <m:sub>
            <m:r>
              <m:t>s</m:t>
            </m:r>
            <m:r>
              <m:rPr>
                <m:sty m:val="p"/>
              </m:rPr>
              <m:t>,</m:t>
            </m:r>
            <m:r>
              <m:t>a</m:t>
            </m:r>
            <m:r>
              <m:rPr>
                <m:sty m:val="p"/>
              </m:rPr>
              <m:t>,</m:t>
            </m:r>
            <m:r>
              <m:t>y</m:t>
            </m:r>
          </m:sub>
        </m:sSub>
      </m:oMath>
      <w:r>
        <w:t xml:space="preserve">, at the start of year</w:t>
      </w:r>
      <w:r>
        <w:t xml:space="preserve"> </w:t>
      </w:r>
      <m:oMath>
        <m:r>
          <m:t>y</m:t>
        </m:r>
      </m:oMath>
      <w:r>
        <w:t xml:space="preserve">.</w:t>
      </w:r>
    </w:p>
    <w:p>
      <w:pPr>
        <w:pStyle w:val="BodyText"/>
      </w:pPr>
      <w:r>
        <w:t xml:space="preserve">The biological and fishery quantities used below are:</w:t>
      </w:r>
    </w:p>
    <w:p>
      <w:pPr>
        <w:pStyle w:val="Compact"/>
        <w:numPr>
          <w:ilvl w:val="0"/>
          <w:numId w:val="1012"/>
        </w:numPr>
      </w:pPr>
      <m:oMath>
        <m:sSub>
          <m:e>
            <m:r>
              <m:t>M</m:t>
            </m:r>
          </m:e>
          <m:sub>
            <m:r>
              <m:t>s</m:t>
            </m:r>
            <m:r>
              <m:rPr>
                <m:sty m:val="p"/>
              </m:rPr>
              <m:t>,</m:t>
            </m:r>
            <m:r>
              <m:t>a</m:t>
            </m:r>
          </m:sub>
        </m:sSub>
      </m:oMath>
      <w:r>
        <w:t xml:space="preserve">: natural mortality;</w:t>
      </w:r>
    </w:p>
    <w:p>
      <w:pPr>
        <w:pStyle w:val="Compact"/>
        <w:numPr>
          <w:ilvl w:val="0"/>
          <w:numId w:val="1012"/>
        </w:numPr>
      </w:pPr>
      <m:oMath>
        <m:sSubSup>
          <m:e>
            <m:r>
              <m:t>S</m:t>
            </m:r>
          </m:e>
          <m:sub>
            <m:r>
              <m:t>f</m:t>
            </m:r>
            <m:r>
              <m:rPr>
                <m:sty m:val="p"/>
              </m:rPr>
              <m:t>,</m:t>
            </m:r>
            <m:r>
              <m:t>s</m:t>
            </m:r>
            <m:r>
              <m:rPr>
                <m:sty m:val="p"/>
              </m:rPr>
              <m:t>,</m:t>
            </m:r>
            <m:r>
              <m:t>a</m:t>
            </m:r>
            <m:r>
              <m:rPr>
                <m:sty m:val="p"/>
              </m:rPr>
              <m:t>,</m:t>
            </m:r>
            <m:r>
              <m:t>y</m:t>
            </m:r>
          </m:sub>
          <m:sup>
            <m:r>
              <m:t>F</m:t>
            </m:r>
          </m:sup>
        </m:sSubSup>
      </m:oMath>
      <w:r>
        <w:t xml:space="preserve">: fishery selectivity;</w:t>
      </w:r>
    </w:p>
    <w:p>
      <w:pPr>
        <w:pStyle w:val="Compact"/>
        <w:numPr>
          <w:ilvl w:val="0"/>
          <w:numId w:val="1012"/>
        </w:numPr>
      </w:pPr>
      <m:oMath>
        <m:sSubSup>
          <m:e>
            <m:r>
              <m:t>S</m:t>
            </m:r>
          </m:e>
          <m:sub>
            <m:r>
              <m:t>i</m:t>
            </m:r>
            <m:r>
              <m:rPr>
                <m:sty m:val="p"/>
              </m:rPr>
              <m:t>,</m:t>
            </m:r>
            <m:r>
              <m:t>s</m:t>
            </m:r>
            <m:r>
              <m:rPr>
                <m:sty m:val="p"/>
              </m:rPr>
              <m:t>,</m:t>
            </m:r>
            <m:r>
              <m:t>a</m:t>
            </m:r>
            <m:r>
              <m:rPr>
                <m:sty m:val="p"/>
              </m:rPr>
              <m:t>,</m:t>
            </m:r>
            <m:r>
              <m:t>y</m:t>
            </m:r>
          </m:sub>
          <m:sup>
            <m:r>
              <m:t>I</m:t>
            </m:r>
          </m:sup>
        </m:sSubSup>
      </m:oMath>
      <w:r>
        <w:t xml:space="preserve">: survey or index selectivity;</w:t>
      </w:r>
    </w:p>
    <w:p>
      <w:pPr>
        <w:pStyle w:val="Compact"/>
        <w:numPr>
          <w:ilvl w:val="0"/>
          <w:numId w:val="1012"/>
        </w:numPr>
      </w:pPr>
      <m:oMath>
        <m:sSubSup>
          <m:e>
            <m:r>
              <m:t>w</m:t>
            </m:r>
          </m:e>
          <m:sub>
            <m:r>
              <m:t>s</m:t>
            </m:r>
            <m:r>
              <m:rPr>
                <m:sty m:val="p"/>
              </m:rPr>
              <m:t>,</m:t>
            </m:r>
            <m:r>
              <m:t>a</m:t>
            </m:r>
            <m:r>
              <m:rPr>
                <m:sty m:val="p"/>
              </m:rPr>
              <m:t>,</m:t>
            </m:r>
            <m:r>
              <m:t>y</m:t>
            </m:r>
          </m:sub>
          <m:sup>
            <m:r>
              <m:rPr>
                <m:sty m:val="p"/>
              </m:rPr>
              <m:t>p</m:t>
            </m:r>
            <m:r>
              <m:rPr>
                <m:sty m:val="p"/>
              </m:rPr>
              <m:t>o</m:t>
            </m:r>
            <m:r>
              <m:rPr>
                <m:sty m:val="p"/>
              </m:rPr>
              <m:t>p</m:t>
            </m:r>
          </m:sup>
        </m:sSubSup>
      </m:oMath>
      <w:r>
        <w:t xml:space="preserve">,</w:t>
      </w:r>
      <w:r>
        <w:t xml:space="preserve"> </w:t>
      </w:r>
      <m:oMath>
        <m:sSubSup>
          <m:e>
            <m:r>
              <m:t>w</m:t>
            </m:r>
          </m:e>
          <m:sub>
            <m:r>
              <m:t>f</m:t>
            </m:r>
            <m:r>
              <m:rPr>
                <m:sty m:val="p"/>
              </m:rPr>
              <m:t>,</m:t>
            </m:r>
            <m:r>
              <m:t>s</m:t>
            </m:r>
            <m:r>
              <m:rPr>
                <m:sty m:val="p"/>
              </m:rPr>
              <m:t>,</m:t>
            </m:r>
            <m:r>
              <m:t>a</m:t>
            </m:r>
            <m:r>
              <m:rPr>
                <m:sty m:val="p"/>
              </m:rPr>
              <m:t>,</m:t>
            </m:r>
            <m:r>
              <m:t>y</m:t>
            </m:r>
          </m:sub>
          <m:sup>
            <m:r>
              <m:rPr>
                <m:sty m:val="p"/>
              </m:rPr>
              <m:t>c</m:t>
            </m:r>
            <m:r>
              <m:rPr>
                <m:sty m:val="p"/>
              </m:rPr>
              <m:t>a</m:t>
            </m:r>
            <m:r>
              <m:rPr>
                <m:sty m:val="p"/>
              </m:rPr>
              <m:t>t</m:t>
            </m:r>
            <m:r>
              <m:rPr>
                <m:sty m:val="p"/>
              </m:rPr>
              <m:t>c</m:t>
            </m:r>
            <m:r>
              <m:rPr>
                <m:sty m:val="p"/>
              </m:rPr>
              <m:t>h</m:t>
            </m:r>
          </m:sup>
        </m:sSubSup>
      </m:oMath>
      <w:r>
        <w:t xml:space="preserve">, and</w:t>
      </w:r>
      <w:r>
        <w:t xml:space="preserve"> </w:t>
      </w:r>
      <m:oMath>
        <m:sSubSup>
          <m:e>
            <m:r>
              <m:t>w</m:t>
            </m:r>
          </m:e>
          <m:sub>
            <m:r>
              <m:t>i</m:t>
            </m:r>
            <m:r>
              <m:rPr>
                <m:sty m:val="p"/>
              </m:rPr>
              <m:t>,</m:t>
            </m:r>
            <m:r>
              <m:t>s</m:t>
            </m:r>
            <m:r>
              <m:rPr>
                <m:sty m:val="p"/>
              </m:rPr>
              <m:t>,</m:t>
            </m:r>
            <m:r>
              <m:t>a</m:t>
            </m:r>
            <m:r>
              <m:rPr>
                <m:sty m:val="p"/>
              </m:rPr>
              <m:t>,</m:t>
            </m:r>
            <m:r>
              <m:t>y</m:t>
            </m:r>
          </m:sub>
          <m:sup>
            <m:r>
              <m:t>I</m:t>
            </m:r>
          </m:sup>
        </m:sSubSup>
      </m:oMath>
      <w:r>
        <w:t xml:space="preserve">: population, catch, and index weights at age;</w:t>
      </w:r>
    </w:p>
    <w:p>
      <w:pPr>
        <w:pStyle w:val="Compact"/>
        <w:numPr>
          <w:ilvl w:val="0"/>
          <w:numId w:val="1012"/>
        </w:numPr>
      </w:pPr>
      <m:oMath>
        <m:sSub>
          <m:e>
            <m:r>
              <m:t>m</m:t>
            </m:r>
          </m:e>
          <m:sub>
            <m:r>
              <m:t>s</m:t>
            </m:r>
            <m:r>
              <m:rPr>
                <m:sty m:val="p"/>
              </m:rPr>
              <m:t>,</m:t>
            </m:r>
            <m:r>
              <m:t>a</m:t>
            </m:r>
          </m:sub>
        </m:sSub>
      </m:oMath>
      <w:r>
        <w:t xml:space="preserve">: maturity at age;</w:t>
      </w:r>
    </w:p>
    <w:p>
      <w:pPr>
        <w:pStyle w:val="Compact"/>
        <w:numPr>
          <w:ilvl w:val="0"/>
          <w:numId w:val="1012"/>
        </w:numPr>
      </w:pPr>
      <m:oMath>
        <m:sSub>
          <m:e>
            <m:r>
              <m:t>q</m:t>
            </m:r>
          </m:e>
          <m:sub>
            <m:r>
              <m:t>i</m:t>
            </m:r>
          </m:sub>
        </m:sSub>
      </m:oMath>
      <w:r>
        <w:t xml:space="preserve">: catchability for abundance index</w:t>
      </w:r>
      <w:r>
        <w:t xml:space="preserve"> </w:t>
      </w:r>
      <m:oMath>
        <m:r>
          <m:t>i</m:t>
        </m:r>
      </m:oMath>
      <w:r>
        <w:t xml:space="preserve">.</w:t>
      </w:r>
    </w:p>
    <w:bookmarkEnd w:id="153"/>
    <w:bookmarkStart w:id="154" w:name="population-update"/>
    <w:p>
      <w:pPr>
        <w:pStyle w:val="Heading2"/>
      </w:pPr>
      <w:r>
        <w:t xml:space="preserve">7.2 Population Update</w:t>
      </w:r>
    </w:p>
    <w:p>
      <w:pPr>
        <w:pStyle w:val="FirstParagraph"/>
      </w:pPr>
      <w:r>
        <w:t xml:space="preserve">For each stock, total mortality at age is</w:t>
      </w:r>
    </w:p>
    <w:p>
      <w:pPr>
        <w:pStyle w:val="BodyText"/>
      </w:pPr>
      <m:oMathPara>
        <m:oMathParaPr>
          <m:jc m:val="center"/>
        </m:oMathParaPr>
        <m:oMath>
          <m:sSub>
            <m:e>
              <m:r>
                <m:t>Z</m:t>
              </m:r>
            </m:e>
            <m:sub>
              <m:r>
                <m:t>s</m:t>
              </m:r>
              <m:r>
                <m:rPr>
                  <m:sty m:val="p"/>
                </m:rPr>
                <m:t>,</m:t>
              </m:r>
              <m:r>
                <m:t>a</m:t>
              </m:r>
              <m:r>
                <m:rPr>
                  <m:sty m:val="p"/>
                </m:rPr>
                <m:t>,</m:t>
              </m:r>
              <m:r>
                <m:t>y</m:t>
              </m:r>
            </m:sub>
          </m:sSub>
          <m:r>
            <m:rPr>
              <m:sty m:val="p"/>
            </m:rPr>
            <m:t>=</m:t>
          </m:r>
          <m:sSub>
            <m:e>
              <m:r>
                <m:t>M</m:t>
              </m:r>
            </m:e>
            <m:sub>
              <m:r>
                <m:t>s</m:t>
              </m:r>
              <m:r>
                <m:rPr>
                  <m:sty m:val="p"/>
                </m:rPr>
                <m:t>,</m:t>
              </m:r>
              <m:r>
                <m:t>a</m:t>
              </m:r>
            </m:sub>
          </m:sSub>
          <m:r>
            <m:rPr>
              <m:sty m:val="p"/>
            </m:rPr>
            <m:t>+</m:t>
          </m:r>
          <m:nary>
            <m:naryPr>
              <m:chr m:val="∑"/>
              <m:limLoc m:val="undOvr"/>
              <m:subHide m:val="off"/>
              <m:supHide m:val="on"/>
            </m:naryPr>
            <m:sub>
              <m:r>
                <m:t>f</m:t>
              </m:r>
            </m:sub>
            <m:sup>
              <m:r>
                <m:t>​</m:t>
              </m:r>
            </m:sup>
            <m:e>
              <m:sSub>
                <m:e>
                  <m:r>
                    <m:t>F</m:t>
                  </m:r>
                </m:e>
                <m:sub>
                  <m:r>
                    <m:t>f</m:t>
                  </m:r>
                  <m:r>
                    <m:rPr>
                      <m:sty m:val="p"/>
                    </m:rPr>
                    <m:t>,</m:t>
                  </m:r>
                  <m:r>
                    <m:t>s</m:t>
                  </m:r>
                  <m:r>
                    <m:rPr>
                      <m:sty m:val="p"/>
                    </m:rPr>
                    <m:t>,</m:t>
                  </m:r>
                  <m:r>
                    <m:t>a</m:t>
                  </m:r>
                  <m:r>
                    <m:rPr>
                      <m:sty m:val="p"/>
                    </m:rPr>
                    <m:t>,</m:t>
                  </m:r>
                  <m:r>
                    <m:t>y</m:t>
                  </m:r>
                </m:sub>
              </m:sSub>
            </m:e>
          </m:nary>
          <m:r>
            <m:rPr>
              <m:sty m:val="p"/>
            </m:rPr>
            <m:t>.</m:t>
          </m:r>
        </m:oMath>
      </m:oMathPara>
    </w:p>
    <w:p>
      <w:pPr>
        <w:pStyle w:val="FirstParagraph"/>
      </w:pPr>
      <w:r>
        <w:t xml:space="preserve">Recruitment enters age 1:</w:t>
      </w:r>
    </w:p>
    <w:p>
      <w:pPr>
        <w:pStyle w:val="BodyText"/>
      </w:pPr>
      <m:oMathPara>
        <m:oMathParaPr>
          <m:jc m:val="center"/>
        </m:oMathParaPr>
        <m:oMath>
          <m:sSub>
            <m:e>
              <m:r>
                <m:t>N</m:t>
              </m:r>
            </m:e>
            <m:sub>
              <m:r>
                <m:t>s</m:t>
              </m:r>
              <m:r>
                <m:rPr>
                  <m:sty m:val="p"/>
                </m:rPr>
                <m:t>,</m:t>
              </m:r>
              <m:r>
                <m:t>1</m:t>
              </m:r>
              <m:r>
                <m:rPr>
                  <m:sty m:val="p"/>
                </m:rPr>
                <m:t>,</m:t>
              </m:r>
              <m:r>
                <m:t>y</m:t>
              </m:r>
            </m:sub>
          </m:sSub>
          <m:r>
            <m:rPr>
              <m:sty m:val="p"/>
            </m:rPr>
            <m:t>=</m:t>
          </m:r>
          <m:sSub>
            <m:e>
              <m:r>
                <m:t>R</m:t>
              </m:r>
            </m:e>
            <m:sub>
              <m:r>
                <m:t>s</m:t>
              </m:r>
              <m:r>
                <m:rPr>
                  <m:sty m:val="p"/>
                </m:rPr>
                <m:t>,</m:t>
              </m:r>
              <m:r>
                <m:t>y</m:t>
              </m:r>
            </m:sub>
          </m:sSub>
          <m:r>
            <m:rPr>
              <m:sty m:val="p"/>
            </m:rPr>
            <m:t>.</m:t>
          </m:r>
        </m:oMath>
      </m:oMathPara>
    </w:p>
    <w:p>
      <w:pPr>
        <w:pStyle w:val="FirstParagraph"/>
      </w:pPr>
      <w:r>
        <w:t xml:space="preserve">For ages</w:t>
      </w:r>
      <w:r>
        <w:t xml:space="preserve"> </w:t>
      </w:r>
      <m:oMath>
        <m:r>
          <m:t>a</m:t>
        </m:r>
        <m:r>
          <m:rPr>
            <m:sty m:val="p"/>
          </m:rPr>
          <m:t>=</m:t>
        </m:r>
        <m:r>
          <m:t>1</m:t>
        </m:r>
        <m:r>
          <m:rPr>
            <m:sty m:val="p"/>
          </m:rPr>
          <m:t>,</m:t>
        </m:r>
        <m:r>
          <m:rPr>
            <m:sty m:val="p"/>
          </m:rPr>
          <m:t>…</m:t>
        </m:r>
        <m:r>
          <m:rPr>
            <m:sty m:val="p"/>
          </m:rPr>
          <m:t>,</m:t>
        </m:r>
        <m:r>
          <m:t>A</m:t>
        </m:r>
        <m:r>
          <m:rPr>
            <m:sty m:val="p"/>
          </m:rPr>
          <m:t>−</m:t>
        </m:r>
        <m:r>
          <m:t>2</m:t>
        </m:r>
      </m:oMath>
      <w:r>
        <w:t xml:space="preserve">, cohort survival follows</w:t>
      </w:r>
    </w:p>
    <w:p>
      <w:pPr>
        <w:pStyle w:val="BodyText"/>
      </w:pPr>
      <m:oMathPara>
        <m:oMathParaPr>
          <m:jc m:val="center"/>
        </m:oMathParaPr>
        <m:oMath>
          <m:sSub>
            <m:e>
              <m:r>
                <m:t>N</m:t>
              </m:r>
            </m:e>
            <m:sub>
              <m:r>
                <m:t>s</m:t>
              </m:r>
              <m:r>
                <m:rPr>
                  <m:sty m:val="p"/>
                </m:rPr>
                <m:t>,</m:t>
              </m:r>
              <m:r>
                <m:t>a</m:t>
              </m:r>
              <m:r>
                <m:rPr>
                  <m:sty m:val="p"/>
                </m:rPr>
                <m:t>+</m:t>
              </m:r>
              <m:r>
                <m:t>1</m:t>
              </m:r>
              <m:r>
                <m:rPr>
                  <m:sty m:val="p"/>
                </m:rPr>
                <m:t>,</m:t>
              </m:r>
              <m:r>
                <m:t>y</m:t>
              </m:r>
              <m:r>
                <m:rPr>
                  <m:sty m:val="p"/>
                </m:rPr>
                <m:t>+</m:t>
              </m:r>
              <m:r>
                <m:t>1</m:t>
              </m:r>
            </m:sub>
          </m:sSub>
          <m:r>
            <m:rPr>
              <m:sty m:val="p"/>
            </m:rPr>
            <m:t>=</m:t>
          </m:r>
          <m:sSub>
            <m:e>
              <m:r>
                <m:t>N</m:t>
              </m:r>
            </m:e>
            <m:sub>
              <m:r>
                <m:t>s</m:t>
              </m:r>
              <m:r>
                <m:rPr>
                  <m:sty m:val="p"/>
                </m:rPr>
                <m:t>,</m:t>
              </m:r>
              <m:r>
                <m:t>a</m:t>
              </m:r>
              <m:r>
                <m:rPr>
                  <m:sty m:val="p"/>
                </m:rPr>
                <m:t>,</m:t>
              </m:r>
              <m:r>
                <m:t>y</m:t>
              </m:r>
            </m:sub>
          </m:sSub>
          <m:r>
            <m:rPr>
              <m:sty m:val="p"/>
            </m:rPr>
            <m:t>exp</m:t>
          </m:r>
          <m:r>
            <m:rPr>
              <m:sty m:val="p"/>
            </m:rPr>
            <m:t>(</m:t>
          </m:r>
          <m:r>
            <m:rPr>
              <m:sty m:val="p"/>
            </m:rPr>
            <m:t>−</m:t>
          </m:r>
          <m:sSub>
            <m:e>
              <m:r>
                <m:t>Z</m:t>
              </m:r>
            </m:e>
            <m:sub>
              <m:r>
                <m:t>s</m:t>
              </m:r>
              <m:r>
                <m:rPr>
                  <m:sty m:val="p"/>
                </m:rPr>
                <m:t>,</m:t>
              </m:r>
              <m:r>
                <m:t>a</m:t>
              </m:r>
              <m:r>
                <m:rPr>
                  <m:sty m:val="p"/>
                </m:rPr>
                <m:t>,</m:t>
              </m:r>
              <m:r>
                <m:t>y</m:t>
              </m:r>
            </m:sub>
          </m:sSub>
          <m:r>
            <m:rPr>
              <m:sty m:val="p"/>
            </m:rPr>
            <m:t>)</m:t>
          </m:r>
          <m:r>
            <m:rPr>
              <m:sty m:val="p"/>
            </m:rPr>
            <m:t>.</m:t>
          </m:r>
        </m:oMath>
      </m:oMathPara>
    </w:p>
    <w:p>
      <w:pPr>
        <w:pStyle w:val="FirstParagraph"/>
      </w:pPr>
      <w:r>
        <w:t xml:space="preserve">The plus group is updated as</w:t>
      </w:r>
    </w:p>
    <w:p>
      <w:pPr>
        <w:pStyle w:val="BodyText"/>
      </w:pPr>
      <m:oMathPara>
        <m:oMathParaPr>
          <m:jc m:val="center"/>
        </m:oMathParaPr>
        <m:oMath>
          <m:eqArr>
            <m:e>
              <m:sSub>
                <m:e>
                  <m:r>
                    <m:t>N</m:t>
                  </m:r>
                </m:e>
                <m:sub>
                  <m:r>
                    <m:t>s</m:t>
                  </m:r>
                  <m:r>
                    <m:rPr>
                      <m:sty m:val="p"/>
                    </m:rPr>
                    <m:t>,</m:t>
                  </m:r>
                  <m:r>
                    <m:t>A</m:t>
                  </m:r>
                  <m:r>
                    <m:rPr>
                      <m:sty m:val="p"/>
                    </m:rPr>
                    <m:t>,</m:t>
                  </m:r>
                  <m:r>
                    <m:t>y</m:t>
                  </m:r>
                  <m:r>
                    <m:rPr>
                      <m:sty m:val="p"/>
                    </m:rPr>
                    <m:t>+</m:t>
                  </m:r>
                  <m:r>
                    <m:t>1</m:t>
                  </m:r>
                </m:sub>
              </m:sSub>
              <m:r>
                <m:t>&amp;</m:t>
              </m:r>
              <m:r>
                <m:rPr>
                  <m:sty m:val="p"/>
                </m:rPr>
                <m:t>=</m:t>
              </m:r>
              <m:sSub>
                <m:e>
                  <m:r>
                    <m:t>N</m:t>
                  </m:r>
                </m:e>
                <m:sub>
                  <m:r>
                    <m:t>s</m:t>
                  </m:r>
                  <m:r>
                    <m:rPr>
                      <m:sty m:val="p"/>
                    </m:rPr>
                    <m:t>,</m:t>
                  </m:r>
                  <m:r>
                    <m:t>A</m:t>
                  </m:r>
                  <m:r>
                    <m:rPr>
                      <m:sty m:val="p"/>
                    </m:rPr>
                    <m:t>−</m:t>
                  </m:r>
                  <m:r>
                    <m:t>1</m:t>
                  </m:r>
                  <m:r>
                    <m:rPr>
                      <m:sty m:val="p"/>
                    </m:rPr>
                    <m:t>,</m:t>
                  </m:r>
                  <m:r>
                    <m:t>y</m:t>
                  </m:r>
                </m:sub>
              </m:sSub>
              <m:r>
                <m:rPr>
                  <m:sty m:val="p"/>
                </m:rPr>
                <m:t>exp</m:t>
              </m:r>
              <m:r>
                <m:rPr>
                  <m:sty m:val="p"/>
                </m:rPr>
                <m:t>(</m:t>
              </m:r>
              <m:r>
                <m:rPr>
                  <m:sty m:val="p"/>
                </m:rPr>
                <m:t>−</m:t>
              </m:r>
              <m:sSub>
                <m:e>
                  <m:r>
                    <m:t>Z</m:t>
                  </m:r>
                </m:e>
                <m:sub>
                  <m:r>
                    <m:t>s</m:t>
                  </m:r>
                  <m:r>
                    <m:rPr>
                      <m:sty m:val="p"/>
                    </m:rPr>
                    <m:t>,</m:t>
                  </m:r>
                  <m:r>
                    <m:t>A</m:t>
                  </m:r>
                  <m:r>
                    <m:rPr>
                      <m:sty m:val="p"/>
                    </m:rPr>
                    <m:t>−</m:t>
                  </m:r>
                  <m:r>
                    <m:t>1</m:t>
                  </m:r>
                  <m:r>
                    <m:rPr>
                      <m:sty m:val="p"/>
                    </m:rPr>
                    <m:t>,</m:t>
                  </m:r>
                  <m:r>
                    <m:t>y</m:t>
                  </m:r>
                </m:sub>
              </m:sSub>
              <m:r>
                <m:rPr>
                  <m:sty m:val="p"/>
                </m:rPr>
                <m:t>)</m:t>
              </m:r>
            </m:e>
            <m:e>
              <m:r>
                <m:t>&amp;</m:t>
              </m:r>
              <m:r>
                <m:t> </m:t>
              </m:r>
              <m:r>
                <m:rPr>
                  <m:sty m:val="p"/>
                </m:rPr>
                <m:t>+</m:t>
              </m:r>
              <m:sSub>
                <m:e>
                  <m:r>
                    <m:t>N</m:t>
                  </m:r>
                </m:e>
                <m:sub>
                  <m:r>
                    <m:t>s</m:t>
                  </m:r>
                  <m:r>
                    <m:rPr>
                      <m:sty m:val="p"/>
                    </m:rPr>
                    <m:t>,</m:t>
                  </m:r>
                  <m:r>
                    <m:t>A</m:t>
                  </m:r>
                  <m:r>
                    <m:rPr>
                      <m:sty m:val="p"/>
                    </m:rPr>
                    <m:t>,</m:t>
                  </m:r>
                  <m:r>
                    <m:t>y</m:t>
                  </m:r>
                </m:sub>
              </m:sSub>
              <m:r>
                <m:rPr>
                  <m:sty m:val="p"/>
                </m:rPr>
                <m:t>exp</m:t>
              </m:r>
              <m:r>
                <m:rPr>
                  <m:sty m:val="p"/>
                </m:rPr>
                <m:t>(</m:t>
              </m:r>
              <m:r>
                <m:rPr>
                  <m:sty m:val="p"/>
                </m:rPr>
                <m:t>−</m:t>
              </m:r>
              <m:sSub>
                <m:e>
                  <m:r>
                    <m:t>Z</m:t>
                  </m:r>
                </m:e>
                <m:sub>
                  <m:r>
                    <m:t>s</m:t>
                  </m:r>
                  <m:r>
                    <m:rPr>
                      <m:sty m:val="p"/>
                    </m:rPr>
                    <m:t>,</m:t>
                  </m:r>
                  <m:r>
                    <m:t>A</m:t>
                  </m:r>
                  <m:r>
                    <m:rPr>
                      <m:sty m:val="p"/>
                    </m:rPr>
                    <m:t>,</m:t>
                  </m:r>
                  <m:r>
                    <m:t>y</m:t>
                  </m:r>
                </m:sub>
              </m:sSub>
              <m:r>
                <m:rPr>
                  <m:sty m:val="p"/>
                </m:rPr>
                <m:t>)</m:t>
              </m:r>
              <m:r>
                <m:rPr>
                  <m:sty m:val="p"/>
                </m:rPr>
                <m:t>.</m:t>
              </m:r>
            </m:e>
          </m:eqArr>
        </m:oMath>
      </m:oMathPara>
    </w:p>
    <w:p>
      <w:pPr>
        <w:pStyle w:val="FirstParagraph"/>
      </w:pPr>
      <w:r>
        <w:t xml:space="preserve">Spawning biomass is calculated from mature biomass at the spawning time within the year:</w:t>
      </w:r>
    </w:p>
    <w:p>
      <w:pPr>
        <w:pStyle w:val="BodyText"/>
      </w:pPr>
      <m:oMathPara>
        <m:oMathParaPr>
          <m:jc m:val="center"/>
        </m:oMathParaPr>
        <m:oMath>
          <m:r>
            <m:t>S</m:t>
          </m:r>
          <m:r>
            <m:t>S</m:t>
          </m:r>
          <m:sSub>
            <m:e>
              <m:r>
                <m:t>B</m:t>
              </m:r>
            </m:e>
            <m:sub>
              <m:r>
                <m:t>s</m:t>
              </m:r>
              <m:r>
                <m:rPr>
                  <m:sty m:val="p"/>
                </m:rPr>
                <m:t>,</m:t>
              </m:r>
              <m:r>
                <m:t>y</m:t>
              </m:r>
            </m:sub>
          </m:sSub>
          <m:r>
            <m:rPr>
              <m:sty m:val="p"/>
            </m:rPr>
            <m:t>=</m:t>
          </m:r>
          <m:nary>
            <m:naryPr>
              <m:chr m:val="∑"/>
              <m:limLoc m:val="undOvr"/>
              <m:subHide m:val="off"/>
              <m:supHide m:val="on"/>
            </m:naryPr>
            <m:sub>
              <m:r>
                <m:t>a</m:t>
              </m:r>
            </m:sub>
            <m:sup>
              <m:r>
                <m:t>​</m:t>
              </m:r>
            </m:sup>
            <m:e>
              <m:sSub>
                <m:e>
                  <m:r>
                    <m:t>N</m:t>
                  </m:r>
                </m:e>
                <m:sub>
                  <m:r>
                    <m:t>s</m:t>
                  </m:r>
                  <m:r>
                    <m:rPr>
                      <m:sty m:val="p"/>
                    </m:rPr>
                    <m:t>,</m:t>
                  </m:r>
                  <m:r>
                    <m:t>a</m:t>
                  </m:r>
                  <m:r>
                    <m:rPr>
                      <m:sty m:val="p"/>
                    </m:rPr>
                    <m:t>,</m:t>
                  </m:r>
                  <m:r>
                    <m:t>y</m:t>
                  </m:r>
                </m:sub>
              </m:sSub>
            </m:e>
          </m:nary>
          <m:r>
            <m:rPr>
              <m:sty m:val="p"/>
            </m:rPr>
            <m:t>exp</m:t>
          </m:r>
          <m:r>
            <m:rPr>
              <m:sty m:val="p"/>
            </m:rPr>
            <m:t>(</m:t>
          </m:r>
          <m:r>
            <m:rPr>
              <m:sty m:val="p"/>
            </m:rPr>
            <m:t>−</m:t>
          </m:r>
          <m:r>
            <m:t>τ</m:t>
          </m:r>
          <m:sSub>
            <m:e>
              <m:r>
                <m:t>Z</m:t>
              </m:r>
            </m:e>
            <m:sub>
              <m:r>
                <m:t>s</m:t>
              </m:r>
              <m:r>
                <m:rPr>
                  <m:sty m:val="p"/>
                </m:rPr>
                <m:t>,</m:t>
              </m:r>
              <m:r>
                <m:t>a</m:t>
              </m:r>
              <m:r>
                <m:rPr>
                  <m:sty m:val="p"/>
                </m:rPr>
                <m:t>,</m:t>
              </m:r>
              <m:r>
                <m:t>y</m:t>
              </m:r>
            </m:sub>
          </m:sSub>
          <m:r>
            <m:rPr>
              <m:sty m:val="p"/>
            </m:rPr>
            <m:t>)</m:t>
          </m:r>
          <m:r>
            <m:t> </m:t>
          </m:r>
          <m:sSub>
            <m:e>
              <m:r>
                <m:t>m</m:t>
              </m:r>
            </m:e>
            <m:sub>
              <m:r>
                <m:t>s</m:t>
              </m:r>
              <m:r>
                <m:rPr>
                  <m:sty m:val="p"/>
                </m:rPr>
                <m:t>,</m:t>
              </m:r>
              <m:r>
                <m:t>a</m:t>
              </m:r>
            </m:sub>
          </m:sSub>
          <m:r>
            <m:t> </m:t>
          </m:r>
          <m:sSubSup>
            <m:e>
              <m:r>
                <m:t>w</m:t>
              </m:r>
            </m:e>
            <m:sub>
              <m:r>
                <m:t>s</m:t>
              </m:r>
              <m:r>
                <m:rPr>
                  <m:sty m:val="p"/>
                </m:rPr>
                <m:t>,</m:t>
              </m:r>
              <m:r>
                <m:t>a</m:t>
              </m:r>
              <m:r>
                <m:rPr>
                  <m:sty m:val="p"/>
                </m:rPr>
                <m:t>,</m:t>
              </m:r>
              <m:r>
                <m:t>y</m:t>
              </m:r>
            </m:sub>
            <m:sup>
              <m:r>
                <m:rPr>
                  <m:sty m:val="p"/>
                </m:rPr>
                <m:t>p</m:t>
              </m:r>
              <m:r>
                <m:rPr>
                  <m:sty m:val="p"/>
                </m:rPr>
                <m:t>o</m:t>
              </m:r>
              <m:r>
                <m:rPr>
                  <m:sty m:val="p"/>
                </m:rPr>
                <m:t>p</m:t>
              </m:r>
            </m:sup>
          </m:sSubSup>
          <m:r>
            <m:rPr>
              <m:sty m:val="p"/>
            </m:rPr>
            <m:t>.</m:t>
          </m:r>
        </m:oMath>
      </m:oMathPara>
    </w:p>
    <w:p>
      <w:pPr>
        <w:pStyle w:val="FirstParagraph"/>
      </w:pPr>
      <w:r>
        <w:t xml:space="preserve">where</w:t>
      </w:r>
      <w:r>
        <w:t xml:space="preserve"> </w:t>
      </w:r>
      <m:oMath>
        <m:r>
          <m:t>τ</m:t>
        </m:r>
      </m:oMath>
      <w:r>
        <w:t xml:space="preserve"> </w:t>
      </w:r>
      <w:r>
        <w:t xml:space="preserve">is the fraction of annual mortality occurring before spawning.</w:t>
      </w:r>
    </w:p>
    <w:bookmarkEnd w:id="154"/>
    <w:bookmarkStart w:id="155" w:name="stock-recruitment-relationship"/>
    <w:p>
      <w:pPr>
        <w:pStyle w:val="Heading2"/>
      </w:pPr>
      <w:r>
        <w:t xml:space="preserve">7.3 Stock-Recruitment Relationship</w:t>
      </w:r>
    </w:p>
    <w:p>
      <w:pPr>
        <w:pStyle w:val="FirstParagraph"/>
      </w:pPr>
      <w:r>
        <w:t xml:space="preserve">The annex states that the JJM uses a stochastic Beverton-Holt relationship. In compact form,</w:t>
      </w:r>
    </w:p>
    <w:p>
      <w:pPr>
        <w:pStyle w:val="BodyText"/>
      </w:pPr>
      <m:oMathPara>
        <m:oMathParaPr>
          <m:jc m:val="center"/>
        </m:oMathParaPr>
        <m:oMath>
          <m:sSub>
            <m:e>
              <m:r>
                <m:t>R</m:t>
              </m:r>
            </m:e>
            <m:sub>
              <m:r>
                <m:t>s</m:t>
              </m:r>
              <m:r>
                <m:rPr>
                  <m:sty m:val="p"/>
                </m:rPr>
                <m:t>,</m:t>
              </m:r>
              <m:r>
                <m:t>y</m:t>
              </m:r>
            </m:sub>
          </m:sSub>
          <m:r>
            <m:rPr>
              <m:sty m:val="p"/>
            </m:rPr>
            <m:t>=</m:t>
          </m:r>
          <m:f>
            <m:fPr>
              <m:type m:val="bar"/>
            </m:fPr>
            <m:num>
              <m:r>
                <m:t>4</m:t>
              </m:r>
              <m:sSub>
                <m:e>
                  <m:r>
                    <m:t>h</m:t>
                  </m:r>
                </m:e>
                <m:sub>
                  <m:r>
                    <m:t>s</m:t>
                  </m:r>
                </m:sub>
              </m:sSub>
              <m:sSub>
                <m:e>
                  <m:r>
                    <m:t>R</m:t>
                  </m:r>
                </m:e>
                <m:sub>
                  <m:r>
                    <m:t>0</m:t>
                  </m:r>
                  <m:r>
                    <m:rPr>
                      <m:sty m:val="p"/>
                    </m:rPr>
                    <m:t>,</m:t>
                  </m:r>
                  <m:r>
                    <m:t>s</m:t>
                  </m:r>
                </m:sub>
              </m:sSub>
              <m:r>
                <m:t>S</m:t>
              </m:r>
              <m:r>
                <m:t>S</m:t>
              </m:r>
              <m:sSub>
                <m:e>
                  <m:r>
                    <m:t>B</m:t>
                  </m:r>
                </m:e>
                <m:sub>
                  <m:r>
                    <m:t>s</m:t>
                  </m:r>
                  <m:r>
                    <m:rPr>
                      <m:sty m:val="p"/>
                    </m:rPr>
                    <m:t>,</m:t>
                  </m:r>
                  <m:r>
                    <m:t>y</m:t>
                  </m:r>
                  <m:r>
                    <m:rPr>
                      <m:sty m:val="p"/>
                    </m:rPr>
                    <m:t>−</m:t>
                  </m:r>
                  <m:r>
                    <m:t>δ</m:t>
                  </m:r>
                </m:sub>
              </m:sSub>
            </m:num>
            <m:den>
              <m:sSub>
                <m:e>
                  <m:r>
                    <m:t>B</m:t>
                  </m:r>
                </m:e>
                <m:sub>
                  <m:r>
                    <m:t>0</m:t>
                  </m:r>
                  <m:r>
                    <m:rPr>
                      <m:sty m:val="p"/>
                    </m:rPr>
                    <m:t>,</m:t>
                  </m:r>
                  <m:r>
                    <m:t>s</m:t>
                  </m:r>
                </m:sub>
              </m:sSub>
              <m:r>
                <m:rPr>
                  <m:sty m:val="p"/>
                </m:rPr>
                <m:t>(</m:t>
              </m:r>
              <m:r>
                <m:t>1</m:t>
              </m:r>
              <m:r>
                <m:rPr>
                  <m:sty m:val="p"/>
                </m:rPr>
                <m:t>−</m:t>
              </m:r>
              <m:sSub>
                <m:e>
                  <m:r>
                    <m:t>h</m:t>
                  </m:r>
                </m:e>
                <m:sub>
                  <m:r>
                    <m:t>s</m:t>
                  </m:r>
                </m:sub>
              </m:sSub>
              <m:r>
                <m:rPr>
                  <m:sty m:val="p"/>
                </m:rPr>
                <m:t>)</m:t>
              </m:r>
              <m:r>
                <m:rPr>
                  <m:sty m:val="p"/>
                </m:rPr>
                <m:t>+</m:t>
              </m:r>
              <m:r>
                <m:t>S</m:t>
              </m:r>
              <m:r>
                <m:t>S</m:t>
              </m:r>
              <m:sSub>
                <m:e>
                  <m:r>
                    <m:t>B</m:t>
                  </m:r>
                </m:e>
                <m:sub>
                  <m:r>
                    <m:t>s</m:t>
                  </m:r>
                  <m:r>
                    <m:rPr>
                      <m:sty m:val="p"/>
                    </m:rPr>
                    <m:t>,</m:t>
                  </m:r>
                  <m:r>
                    <m:t>y</m:t>
                  </m:r>
                  <m:r>
                    <m:rPr>
                      <m:sty m:val="p"/>
                    </m:rPr>
                    <m:t>−</m:t>
                  </m:r>
                  <m:r>
                    <m:t>δ</m:t>
                  </m:r>
                </m:sub>
              </m:sSub>
              <m:r>
                <m:rPr>
                  <m:sty m:val="p"/>
                </m:rPr>
                <m:t>(</m:t>
              </m:r>
              <m:r>
                <m:t>5</m:t>
              </m:r>
              <m:sSub>
                <m:e>
                  <m:r>
                    <m:t>h</m:t>
                  </m:r>
                </m:e>
                <m:sub>
                  <m:r>
                    <m:t>s</m:t>
                  </m:r>
                </m:sub>
              </m:sSub>
              <m:r>
                <m:rPr>
                  <m:sty m:val="p"/>
                </m:rPr>
                <m:t>−</m:t>
              </m:r>
              <m:r>
                <m:t>1</m:t>
              </m:r>
              <m:r>
                <m:rPr>
                  <m:sty m:val="p"/>
                </m:rPr>
                <m:t>)</m:t>
              </m:r>
            </m:den>
          </m:f>
          <m:r>
            <m:rPr>
              <m:sty m:val="p"/>
            </m:rPr>
            <m:t>exp</m:t>
          </m:r>
          <m:d>
            <m:dPr>
              <m:begChr m:val="("/>
              <m:sepChr m:val=""/>
              <m:endChr m:val=")"/>
              <m:grow/>
            </m:dPr>
            <m:e>
              <m:sSub>
                <m:e>
                  <m:r>
                    <m:t>ε</m:t>
                  </m:r>
                </m:e>
                <m:sub>
                  <m:r>
                    <m:t>s</m:t>
                  </m:r>
                  <m:r>
                    <m:rPr>
                      <m:sty m:val="p"/>
                    </m:rPr>
                    <m:t>,</m:t>
                  </m:r>
                  <m:r>
                    <m:t>y</m:t>
                  </m:r>
                </m:sub>
              </m:sSub>
              <m:r>
                <m:rPr>
                  <m:sty m:val="p"/>
                </m:rPr>
                <m:t>−</m:t>
              </m:r>
              <m:f>
                <m:fPr>
                  <m:type m:val="bar"/>
                </m:fPr>
                <m:num>
                  <m:sSubSup>
                    <m:e>
                      <m:r>
                        <m:t>σ</m:t>
                      </m:r>
                    </m:e>
                    <m:sub>
                      <m:r>
                        <m:t>R</m:t>
                      </m:r>
                      <m:r>
                        <m:rPr>
                          <m:sty m:val="p"/>
                        </m:rPr>
                        <m:t>,</m:t>
                      </m:r>
                      <m:r>
                        <m:t>s</m:t>
                      </m:r>
                    </m:sub>
                    <m:sup>
                      <m:r>
                        <m:t>2</m:t>
                      </m:r>
                    </m:sup>
                  </m:sSubSup>
                </m:num>
                <m:den>
                  <m:r>
                    <m:t>2</m:t>
                  </m:r>
                </m:den>
              </m:f>
            </m:e>
          </m:d>
          <m:r>
            <m:rPr>
              <m:sty m:val="p"/>
            </m:rPr>
            <m:t>.</m:t>
          </m:r>
        </m:oMath>
      </m:oMathPara>
    </w:p>
    <w:p>
      <w:pPr>
        <w:pStyle w:val="FirstParagraph"/>
      </w:pPr>
      <w:r>
        <w:t xml:space="preserve">where</w:t>
      </w:r>
      <w:r>
        <w:t xml:space="preserve"> </w:t>
      </w:r>
      <m:oMath>
        <m:sSub>
          <m:e>
            <m:r>
              <m:t>h</m:t>
            </m:r>
          </m:e>
          <m:sub>
            <m:r>
              <m:t>s</m:t>
            </m:r>
          </m:sub>
        </m:sSub>
      </m:oMath>
      <w:r>
        <w:t xml:space="preserve"> </w:t>
      </w:r>
      <w:r>
        <w:t xml:space="preserve">is steepness,</w:t>
      </w:r>
      <w:r>
        <w:t xml:space="preserve"> </w:t>
      </w:r>
      <m:oMath>
        <m:sSub>
          <m:e>
            <m:r>
              <m:t>R</m:t>
            </m:r>
          </m:e>
          <m:sub>
            <m:r>
              <m:t>0</m:t>
            </m:r>
            <m:r>
              <m:rPr>
                <m:sty m:val="p"/>
              </m:rPr>
              <m:t>,</m:t>
            </m:r>
            <m:r>
              <m:t>s</m:t>
            </m:r>
          </m:sub>
        </m:sSub>
      </m:oMath>
      <w:r>
        <w:t xml:space="preserve"> </w:t>
      </w:r>
      <w:r>
        <w:t xml:space="preserve">is unfished recruitment,</w:t>
      </w:r>
      <w:r>
        <w:t xml:space="preserve"> </w:t>
      </w:r>
      <m:oMath>
        <m:sSub>
          <m:e>
            <m:r>
              <m:t>B</m:t>
            </m:r>
          </m:e>
          <m:sub>
            <m:r>
              <m:t>0</m:t>
            </m:r>
            <m:r>
              <m:rPr>
                <m:sty m:val="p"/>
              </m:rPr>
              <m:t>,</m:t>
            </m:r>
            <m:r>
              <m:t>s</m:t>
            </m:r>
          </m:sub>
        </m:sSub>
      </m:oMath>
      <w:r>
        <w:t xml:space="preserve"> </w:t>
      </w:r>
      <w:r>
        <w:t xml:space="preserve">is unfished spawning biomass,</w:t>
      </w:r>
      <w:r>
        <w:t xml:space="preserve"> </w:t>
      </w:r>
      <m:oMath>
        <m:r>
          <m:t>δ</m:t>
        </m:r>
      </m:oMath>
      <w:r>
        <w:t xml:space="preserve"> </w:t>
      </w:r>
      <w:r>
        <w:t xml:space="preserve">is the lag from spawning to recruitment, and</w:t>
      </w:r>
      <w:r>
        <w:t xml:space="preserve"> </w:t>
      </w:r>
      <m:oMath>
        <m:sSub>
          <m:e>
            <m:r>
              <m:t>ε</m:t>
            </m:r>
          </m:e>
          <m:sub>
            <m:r>
              <m:t>s</m:t>
            </m:r>
            <m:r>
              <m:rPr>
                <m:sty m:val="p"/>
              </m:rPr>
              <m:t>,</m:t>
            </m:r>
            <m:r>
              <m:t>y</m:t>
            </m:r>
          </m:sub>
        </m:sSub>
      </m:oMath>
      <w:r>
        <w:t xml:space="preserve"> </w:t>
      </w:r>
      <w:r>
        <w:t xml:space="preserve">is the annual recruitment deviation.</w:t>
      </w:r>
    </w:p>
    <w:p>
      <w:pPr>
        <w:pStyle w:val="BodyText"/>
      </w:pPr>
      <w:r>
        <w:t xml:space="preserve">Under</w:t>
      </w:r>
      <w:r>
        <w:t xml:space="preserve"> </w:t>
      </w:r>
      <w:r>
        <w:rPr>
          <w:rStyle w:val="VerbatimChar"/>
        </w:rPr>
        <w:t xml:space="preserve">h1_1.14</w:t>
      </w:r>
      <w:r>
        <w:t xml:space="preserve">, this relationship is applied to a single stock with one recruitment regime. Under</w:t>
      </w:r>
      <w:r>
        <w:t xml:space="preserve"> </w:t>
      </w:r>
      <w:r>
        <w:rPr>
          <w:rStyle w:val="VerbatimChar"/>
        </w:rPr>
        <w:t xml:space="preserve">h2_1.14</w:t>
      </w:r>
      <w:r>
        <w:t xml:space="preserve">, recruitment is assigned across two stocks with a more complex regime structure, including the 1999 shift described in the control file.</w:t>
      </w:r>
    </w:p>
    <w:bookmarkEnd w:id="155"/>
    <w:bookmarkStart w:id="156" w:name="fishing-mortality-and-catch"/>
    <w:p>
      <w:pPr>
        <w:pStyle w:val="Heading2"/>
      </w:pPr>
      <w:r>
        <w:t xml:space="preserve">7.4 Fishing Mortality and Catch</w:t>
      </w:r>
    </w:p>
    <w:p>
      <w:pPr>
        <w:pStyle w:val="FirstParagraph"/>
      </w:pPr>
      <w:r>
        <w:t xml:space="preserve">The annex describes fishing mortality as the product of fleet-specific selectivity and an annual fishing-intensity term. A compact representation is</w:t>
      </w:r>
    </w:p>
    <w:p>
      <w:pPr>
        <w:pStyle w:val="BodyText"/>
      </w:pPr>
      <m:oMathPara>
        <m:oMathParaPr>
          <m:jc m:val="center"/>
        </m:oMathParaPr>
        <m:oMath>
          <m:sSub>
            <m:e>
              <m:r>
                <m:t>F</m:t>
              </m:r>
            </m:e>
            <m:sub>
              <m:r>
                <m:t>f</m:t>
              </m:r>
              <m:r>
                <m:rPr>
                  <m:sty m:val="p"/>
                </m:rPr>
                <m:t>,</m:t>
              </m:r>
              <m:r>
                <m:t>s</m:t>
              </m:r>
              <m:r>
                <m:rPr>
                  <m:sty m:val="p"/>
                </m:rPr>
                <m:t>,</m:t>
              </m:r>
              <m:r>
                <m:t>a</m:t>
              </m:r>
              <m:r>
                <m:rPr>
                  <m:sty m:val="p"/>
                </m:rPr>
                <m:t>,</m:t>
              </m:r>
              <m:r>
                <m:t>y</m:t>
              </m:r>
            </m:sub>
          </m:sSub>
          <m:r>
            <m:rPr>
              <m:sty m:val="p"/>
            </m:rPr>
            <m:t>=</m:t>
          </m:r>
          <m:sSub>
            <m:e>
              <m:r>
                <m:t>f</m:t>
              </m:r>
            </m:e>
            <m:sub>
              <m:r>
                <m:t>f</m:t>
              </m:r>
              <m:r>
                <m:rPr>
                  <m:sty m:val="p"/>
                </m:rPr>
                <m:t>,</m:t>
              </m:r>
              <m:r>
                <m:t>y</m:t>
              </m:r>
            </m:sub>
          </m:sSub>
          <m:sSubSup>
            <m:e>
              <m:r>
                <m:t>S</m:t>
              </m:r>
            </m:e>
            <m:sub>
              <m:r>
                <m:t>f</m:t>
              </m:r>
              <m:r>
                <m:rPr>
                  <m:sty m:val="p"/>
                </m:rPr>
                <m:t>,</m:t>
              </m:r>
              <m:r>
                <m:t>s</m:t>
              </m:r>
              <m:r>
                <m:rPr>
                  <m:sty m:val="p"/>
                </m:rPr>
                <m:t>,</m:t>
              </m:r>
              <m:r>
                <m:t>a</m:t>
              </m:r>
              <m:r>
                <m:rPr>
                  <m:sty m:val="p"/>
                </m:rPr>
                <m:t>,</m:t>
              </m:r>
              <m:r>
                <m:t>y</m:t>
              </m:r>
            </m:sub>
            <m:sup>
              <m:r>
                <m:t>F</m:t>
              </m:r>
            </m:sup>
          </m:sSubSup>
          <m:r>
            <m:rPr>
              <m:sty m:val="p"/>
            </m:rPr>
            <m:t>.</m:t>
          </m:r>
        </m:oMath>
      </m:oMathPara>
    </w:p>
    <w:p>
      <w:pPr>
        <w:pStyle w:val="FirstParagraph"/>
      </w:pPr>
      <w:r>
        <w:t xml:space="preserve">where</w:t>
      </w:r>
      <w:r>
        <w:t xml:space="preserve"> </w:t>
      </w:r>
      <m:oMath>
        <m:sSub>
          <m:e>
            <m:r>
              <m:t>f</m:t>
            </m:r>
          </m:e>
          <m:sub>
            <m:r>
              <m:t>f</m:t>
            </m:r>
            <m:r>
              <m:rPr>
                <m:sty m:val="p"/>
              </m:rPr>
              <m:t>,</m:t>
            </m:r>
            <m:r>
              <m:t>y</m:t>
            </m:r>
          </m:sub>
        </m:sSub>
      </m:oMath>
      <w:r>
        <w:t xml:space="preserve"> </w:t>
      </w:r>
      <w:r>
        <w:t xml:space="preserve">is the year-specific fleet intensity after incorporating the effort-to-mortality scaling and annual deviations used in the fitted model.</w:t>
      </w:r>
    </w:p>
    <w:p>
      <w:pPr>
        <w:pStyle w:val="BodyText"/>
      </w:pPr>
      <w:r>
        <w:t xml:space="preserve">Predicted catch in numbers at age follows the Baranov catch equation:</w:t>
      </w:r>
    </w:p>
    <w:p>
      <w:pPr>
        <w:pStyle w:val="BodyText"/>
      </w:pPr>
      <m:oMathPara>
        <m:oMathParaPr>
          <m:jc m:val="center"/>
        </m:oMathParaPr>
        <m:oMath>
          <m:sSubSup>
            <m:e>
              <m:r>
                <m:t>C</m:t>
              </m:r>
            </m:e>
            <m:sub>
              <m:r>
                <m:t>f</m:t>
              </m:r>
              <m:r>
                <m:rPr>
                  <m:sty m:val="p"/>
                </m:rPr>
                <m:t>,</m:t>
              </m:r>
              <m:r>
                <m:t>s</m:t>
              </m:r>
              <m:r>
                <m:rPr>
                  <m:sty m:val="p"/>
                </m:rPr>
                <m:t>,</m:t>
              </m:r>
              <m:r>
                <m:t>a</m:t>
              </m:r>
              <m:r>
                <m:rPr>
                  <m:sty m:val="p"/>
                </m:rPr>
                <m:t>,</m:t>
              </m:r>
              <m:r>
                <m:t>y</m:t>
              </m:r>
            </m:sub>
            <m:sup>
              <m:r>
                <m:t>N</m:t>
              </m:r>
            </m:sup>
          </m:sSubSup>
          <m:r>
            <m:rPr>
              <m:sty m:val="p"/>
            </m:rPr>
            <m:t>=</m:t>
          </m:r>
          <m:sSub>
            <m:e>
              <m:r>
                <m:t>N</m:t>
              </m:r>
            </m:e>
            <m:sub>
              <m:r>
                <m:t>s</m:t>
              </m:r>
              <m:r>
                <m:rPr>
                  <m:sty m:val="p"/>
                </m:rPr>
                <m:t>,</m:t>
              </m:r>
              <m:r>
                <m:t>a</m:t>
              </m:r>
              <m:r>
                <m:rPr>
                  <m:sty m:val="p"/>
                </m:rPr>
                <m:t>,</m:t>
              </m:r>
              <m:r>
                <m:t>y</m:t>
              </m:r>
            </m:sub>
          </m:sSub>
          <m:r>
            <m:t> </m:t>
          </m:r>
          <m:f>
            <m:fPr>
              <m:type m:val="bar"/>
            </m:fPr>
            <m:num>
              <m:sSub>
                <m:e>
                  <m:r>
                    <m:t>F</m:t>
                  </m:r>
                </m:e>
                <m:sub>
                  <m:r>
                    <m:t>f</m:t>
                  </m:r>
                  <m:r>
                    <m:rPr>
                      <m:sty m:val="p"/>
                    </m:rPr>
                    <m:t>,</m:t>
                  </m:r>
                  <m:r>
                    <m:t>s</m:t>
                  </m:r>
                  <m:r>
                    <m:rPr>
                      <m:sty m:val="p"/>
                    </m:rPr>
                    <m:t>,</m:t>
                  </m:r>
                  <m:r>
                    <m:t>a</m:t>
                  </m:r>
                  <m:r>
                    <m:rPr>
                      <m:sty m:val="p"/>
                    </m:rPr>
                    <m:t>,</m:t>
                  </m:r>
                  <m:r>
                    <m:t>y</m:t>
                  </m:r>
                </m:sub>
              </m:sSub>
            </m:num>
            <m:den>
              <m:sSub>
                <m:e>
                  <m:r>
                    <m:t>Z</m:t>
                  </m:r>
                </m:e>
                <m:sub>
                  <m:r>
                    <m:t>s</m:t>
                  </m:r>
                  <m:r>
                    <m:rPr>
                      <m:sty m:val="p"/>
                    </m:rPr>
                    <m:t>,</m:t>
                  </m:r>
                  <m:r>
                    <m:t>a</m:t>
                  </m:r>
                  <m:r>
                    <m:rPr>
                      <m:sty m:val="p"/>
                    </m:rPr>
                    <m:t>,</m:t>
                  </m:r>
                  <m:r>
                    <m:t>y</m:t>
                  </m:r>
                </m:sub>
              </m:sSub>
            </m:den>
          </m:f>
          <m:r>
            <m:t> </m:t>
          </m:r>
          <m:d>
            <m:dPr>
              <m:begChr m:val="("/>
              <m:sepChr m:val=""/>
              <m:endChr m:val=")"/>
              <m:grow/>
            </m:dPr>
            <m:e>
              <m:r>
                <m:t>1</m:t>
              </m:r>
              <m:r>
                <m:rPr>
                  <m:sty m:val="p"/>
                </m:rPr>
                <m:t>−</m:t>
              </m:r>
              <m:r>
                <m:rPr>
                  <m:sty m:val="p"/>
                </m:rPr>
                <m:t>exp</m:t>
              </m:r>
              <m:r>
                <m:rPr>
                  <m:sty m:val="p"/>
                </m:rPr>
                <m:t>(</m:t>
              </m:r>
              <m:r>
                <m:rPr>
                  <m:sty m:val="p"/>
                </m:rPr>
                <m:t>−</m:t>
              </m:r>
              <m:sSub>
                <m:e>
                  <m:r>
                    <m:t>Z</m:t>
                  </m:r>
                </m:e>
                <m:sub>
                  <m:r>
                    <m:t>s</m:t>
                  </m:r>
                  <m:r>
                    <m:rPr>
                      <m:sty m:val="p"/>
                    </m:rPr>
                    <m:t>,</m:t>
                  </m:r>
                  <m:r>
                    <m:t>a</m:t>
                  </m:r>
                  <m:r>
                    <m:rPr>
                      <m:sty m:val="p"/>
                    </m:rPr>
                    <m:t>,</m:t>
                  </m:r>
                  <m:r>
                    <m:t>y</m:t>
                  </m:r>
                </m:sub>
              </m:sSub>
              <m:r>
                <m:rPr>
                  <m:sty m:val="p"/>
                </m:rPr>
                <m:t>)</m:t>
              </m:r>
            </m:e>
          </m:d>
          <m:r>
            <m:rPr>
              <m:sty m:val="p"/>
            </m:rPr>
            <m:t>.</m:t>
          </m:r>
        </m:oMath>
      </m:oMathPara>
    </w:p>
    <w:p>
      <w:pPr>
        <w:pStyle w:val="FirstParagraph"/>
      </w:pPr>
      <w:r>
        <w:t xml:space="preserve">Predicted catch in biomass for fleet</w:t>
      </w:r>
      <w:r>
        <w:t xml:space="preserve"> </w:t>
      </w:r>
      <m:oMath>
        <m:r>
          <m:t>f</m:t>
        </m:r>
      </m:oMath>
      <w:r>
        <w:t xml:space="preserve"> </w:t>
      </w:r>
      <w:r>
        <w:t xml:space="preserve">is then</w:t>
      </w:r>
    </w:p>
    <w:p>
      <w:pPr>
        <w:pStyle w:val="BodyText"/>
      </w:pPr>
      <m:oMathPara>
        <m:oMathParaPr>
          <m:jc m:val="center"/>
        </m:oMathParaPr>
        <m:oMath>
          <m:sSubSup>
            <m:e>
              <m:r>
                <m:t>C</m:t>
              </m:r>
            </m:e>
            <m:sub>
              <m:r>
                <m:t>f</m:t>
              </m:r>
              <m:r>
                <m:rPr>
                  <m:sty m:val="p"/>
                </m:rPr>
                <m:t>,</m:t>
              </m:r>
              <m:r>
                <m:t>y</m:t>
              </m:r>
            </m:sub>
            <m:sup>
              <m:r>
                <m:t>B</m:t>
              </m:r>
            </m:sup>
          </m:sSubSup>
          <m:r>
            <m:rPr>
              <m:sty m:val="p"/>
            </m:rPr>
            <m:t>=</m:t>
          </m:r>
          <m:nary>
            <m:naryPr>
              <m:chr m:val="∑"/>
              <m:limLoc m:val="undOvr"/>
              <m:subHide m:val="off"/>
              <m:supHide m:val="on"/>
            </m:naryPr>
            <m:sub>
              <m:r>
                <m:t>s</m:t>
              </m:r>
            </m:sub>
            <m:sup>
              <m:r>
                <m:t>​</m:t>
              </m:r>
            </m:sup>
            <m:e>
              <m:nary>
                <m:naryPr>
                  <m:chr m:val="∑"/>
                  <m:limLoc m:val="undOvr"/>
                  <m:subHide m:val="off"/>
                  <m:supHide m:val="on"/>
                </m:naryPr>
                <m:sub>
                  <m:r>
                    <m:t>a</m:t>
                  </m:r>
                </m:sub>
                <m:sup>
                  <m:r>
                    <m:t>​</m:t>
                  </m:r>
                </m:sup>
                <m:e>
                  <m:sSubSup>
                    <m:e>
                      <m:r>
                        <m:t>C</m:t>
                      </m:r>
                    </m:e>
                    <m:sub>
                      <m:r>
                        <m:t>f</m:t>
                      </m:r>
                      <m:r>
                        <m:rPr>
                          <m:sty m:val="p"/>
                        </m:rPr>
                        <m:t>,</m:t>
                      </m:r>
                      <m:r>
                        <m:t>s</m:t>
                      </m:r>
                      <m:r>
                        <m:rPr>
                          <m:sty m:val="p"/>
                        </m:rPr>
                        <m:t>,</m:t>
                      </m:r>
                      <m:r>
                        <m:t>a</m:t>
                      </m:r>
                      <m:r>
                        <m:rPr>
                          <m:sty m:val="p"/>
                        </m:rPr>
                        <m:t>,</m:t>
                      </m:r>
                      <m:r>
                        <m:t>y</m:t>
                      </m:r>
                    </m:sub>
                    <m:sup>
                      <m:r>
                        <m:t>N</m:t>
                      </m:r>
                    </m:sup>
                  </m:sSubSup>
                </m:e>
              </m:nary>
            </m:e>
          </m:nary>
          <m:r>
            <m:t> </m:t>
          </m:r>
          <m:sSubSup>
            <m:e>
              <m:r>
                <m:t>w</m:t>
              </m:r>
            </m:e>
            <m:sub>
              <m:r>
                <m:t>f</m:t>
              </m:r>
              <m:r>
                <m:rPr>
                  <m:sty m:val="p"/>
                </m:rPr>
                <m:t>,</m:t>
              </m:r>
              <m:r>
                <m:t>s</m:t>
              </m:r>
              <m:r>
                <m:rPr>
                  <m:sty m:val="p"/>
                </m:rPr>
                <m:t>,</m:t>
              </m:r>
              <m:r>
                <m:t>a</m:t>
              </m:r>
              <m:r>
                <m:rPr>
                  <m:sty m:val="p"/>
                </m:rPr>
                <m:t>,</m:t>
              </m:r>
              <m:r>
                <m:t>y</m:t>
              </m:r>
            </m:sub>
            <m:sup>
              <m:r>
                <m:rPr>
                  <m:sty m:val="p"/>
                </m:rPr>
                <m:t>c</m:t>
              </m:r>
              <m:r>
                <m:rPr>
                  <m:sty m:val="p"/>
                </m:rPr>
                <m:t>a</m:t>
              </m:r>
              <m:r>
                <m:rPr>
                  <m:sty m:val="p"/>
                </m:rPr>
                <m:t>t</m:t>
              </m:r>
              <m:r>
                <m:rPr>
                  <m:sty m:val="p"/>
                </m:rPr>
                <m:t>c</m:t>
              </m:r>
              <m:r>
                <m:rPr>
                  <m:sty m:val="p"/>
                </m:rPr>
                <m:t>h</m:t>
              </m:r>
            </m:sup>
          </m:sSubSup>
          <m:r>
            <m:rPr>
              <m:sty m:val="p"/>
            </m:rPr>
            <m:t>.</m:t>
          </m:r>
        </m:oMath>
      </m:oMathPara>
    </w:p>
    <w:bookmarkEnd w:id="156"/>
    <w:bookmarkStart w:id="157" w:name="abundance-indices"/>
    <w:p>
      <w:pPr>
        <w:pStyle w:val="Heading2"/>
      </w:pPr>
      <w:r>
        <w:t xml:space="preserve">7.5 Abundance Indices</w:t>
      </w:r>
    </w:p>
    <w:p>
      <w:pPr>
        <w:pStyle w:val="FirstParagraph"/>
      </w:pPr>
      <w:r>
        <w:t xml:space="preserve">For abundance index</w:t>
      </w:r>
      <w:r>
        <w:t xml:space="preserve"> </w:t>
      </w:r>
      <m:oMath>
        <m:r>
          <m:t>i</m:t>
        </m:r>
      </m:oMath>
      <w:r>
        <w:t xml:space="preserve">, the predicted index is a catchability-scaled vulnerable biomass or abundance quantity:</w:t>
      </w:r>
    </w:p>
    <w:p>
      <w:pPr>
        <w:pStyle w:val="BodyText"/>
      </w:pPr>
      <m:oMathPara>
        <m:oMathParaPr>
          <m:jc m:val="center"/>
        </m:oMathParaPr>
        <m:oMath>
          <m:eqArr>
            <m:e>
              <m:sSubSup>
                <m:e>
                  <m:r>
                    <m:t>I</m:t>
                  </m:r>
                </m:e>
                <m:sub>
                  <m:r>
                    <m:t>i</m:t>
                  </m:r>
                  <m:r>
                    <m:rPr>
                      <m:sty m:val="p"/>
                    </m:rPr>
                    <m:t>,</m:t>
                  </m:r>
                  <m:r>
                    <m:t>y</m:t>
                  </m:r>
                </m:sub>
                <m:sup>
                  <m:r>
                    <m:rPr>
                      <m:sty m:val="p"/>
                    </m:rPr>
                    <m:t>p</m:t>
                  </m:r>
                  <m:r>
                    <m:rPr>
                      <m:sty m:val="p"/>
                    </m:rPr>
                    <m:t>r</m:t>
                  </m:r>
                  <m:r>
                    <m:rPr>
                      <m:sty m:val="p"/>
                    </m:rPr>
                    <m:t>e</m:t>
                  </m:r>
                  <m:r>
                    <m:rPr>
                      <m:sty m:val="p"/>
                    </m:rPr>
                    <m:t>d</m:t>
                  </m:r>
                </m:sup>
              </m:sSubSup>
              <m:r>
                <m:t>&amp;</m:t>
              </m:r>
              <m:r>
                <m:rPr>
                  <m:sty m:val="p"/>
                </m:rPr>
                <m:t>=</m:t>
              </m:r>
              <m:sSub>
                <m:e>
                  <m:r>
                    <m:t>q</m:t>
                  </m:r>
                </m:e>
                <m:sub>
                  <m:r>
                    <m:t>i</m:t>
                  </m:r>
                </m:sub>
              </m:sSub>
              <m:nary>
                <m:naryPr>
                  <m:chr m:val="∑"/>
                  <m:limLoc m:val="undOvr"/>
                  <m:subHide m:val="off"/>
                  <m:supHide m:val="on"/>
                </m:naryPr>
                <m:sub>
                  <m:r>
                    <m:t>s</m:t>
                  </m:r>
                </m:sub>
                <m:sup>
                  <m:r>
                    <m:t>​</m:t>
                  </m:r>
                </m:sup>
                <m:e>
                  <m:nary>
                    <m:naryPr>
                      <m:chr m:val="∑"/>
                      <m:limLoc m:val="undOvr"/>
                      <m:subHide m:val="off"/>
                      <m:supHide m:val="on"/>
                    </m:naryPr>
                    <m:sub>
                      <m:r>
                        <m:t>a</m:t>
                      </m:r>
                    </m:sub>
                    <m:sup>
                      <m:r>
                        <m:t>​</m:t>
                      </m:r>
                    </m:sup>
                    <m:e>
                      <m:sSub>
                        <m:e>
                          <m:r>
                            <m:t>N</m:t>
                          </m:r>
                        </m:e>
                        <m:sub>
                          <m:r>
                            <m:t>s</m:t>
                          </m:r>
                          <m:r>
                            <m:rPr>
                              <m:sty m:val="p"/>
                            </m:rPr>
                            <m:t>,</m:t>
                          </m:r>
                          <m:r>
                            <m:t>a</m:t>
                          </m:r>
                          <m:r>
                            <m:rPr>
                              <m:sty m:val="p"/>
                            </m:rPr>
                            <m:t>,</m:t>
                          </m:r>
                          <m:r>
                            <m:t>y</m:t>
                          </m:r>
                        </m:sub>
                      </m:sSub>
                    </m:e>
                  </m:nary>
                </m:e>
              </m:nary>
              <m:r>
                <m:rPr>
                  <m:sty m:val="p"/>
                </m:rPr>
                <m:t>exp</m:t>
              </m:r>
              <m:r>
                <m:rPr>
                  <m:sty m:val="p"/>
                </m:rPr>
                <m:t>(</m:t>
              </m:r>
              <m:r>
                <m:rPr>
                  <m:sty m:val="p"/>
                </m:rPr>
                <m:t>−</m:t>
              </m:r>
              <m:sSub>
                <m:e>
                  <m:r>
                    <m:t>λ</m:t>
                  </m:r>
                </m:e>
                <m:sub>
                  <m:r>
                    <m:t>i</m:t>
                  </m:r>
                </m:sub>
              </m:sSub>
              <m:sSub>
                <m:e>
                  <m:r>
                    <m:t>Z</m:t>
                  </m:r>
                </m:e>
                <m:sub>
                  <m:r>
                    <m:t>s</m:t>
                  </m:r>
                  <m:r>
                    <m:rPr>
                      <m:sty m:val="p"/>
                    </m:rPr>
                    <m:t>,</m:t>
                  </m:r>
                  <m:r>
                    <m:t>a</m:t>
                  </m:r>
                  <m:r>
                    <m:rPr>
                      <m:sty m:val="p"/>
                    </m:rPr>
                    <m:t>,</m:t>
                  </m:r>
                  <m:r>
                    <m:t>y</m:t>
                  </m:r>
                </m:sub>
              </m:sSub>
              <m:r>
                <m:rPr>
                  <m:sty m:val="p"/>
                </m:rPr>
                <m:t>)</m:t>
              </m:r>
            </m:e>
            <m:e>
              <m:r>
                <m:t>&amp;</m:t>
              </m:r>
              <m:r>
                <m:t> </m:t>
              </m:r>
              <m:r>
                <m:rPr>
                  <m:sty m:val="p"/>
                </m:rPr>
                <m:t>×</m:t>
              </m:r>
              <m:sSubSup>
                <m:e>
                  <m:r>
                    <m:t>S</m:t>
                  </m:r>
                </m:e>
                <m:sub>
                  <m:r>
                    <m:t>i</m:t>
                  </m:r>
                  <m:r>
                    <m:rPr>
                      <m:sty m:val="p"/>
                    </m:rPr>
                    <m:t>,</m:t>
                  </m:r>
                  <m:r>
                    <m:t>s</m:t>
                  </m:r>
                  <m:r>
                    <m:rPr>
                      <m:sty m:val="p"/>
                    </m:rPr>
                    <m:t>,</m:t>
                  </m:r>
                  <m:r>
                    <m:t>a</m:t>
                  </m:r>
                  <m:r>
                    <m:rPr>
                      <m:sty m:val="p"/>
                    </m:rPr>
                    <m:t>,</m:t>
                  </m:r>
                  <m:r>
                    <m:t>y</m:t>
                  </m:r>
                </m:sub>
                <m:sup>
                  <m:r>
                    <m:t>I</m:t>
                  </m:r>
                </m:sup>
              </m:sSubSup>
              <m:r>
                <m:t> </m:t>
              </m:r>
              <m:sSubSup>
                <m:e>
                  <m:r>
                    <m:t>w</m:t>
                  </m:r>
                </m:e>
                <m:sub>
                  <m:r>
                    <m:t>i</m:t>
                  </m:r>
                  <m:r>
                    <m:rPr>
                      <m:sty m:val="p"/>
                    </m:rPr>
                    <m:t>,</m:t>
                  </m:r>
                  <m:r>
                    <m:t>s</m:t>
                  </m:r>
                  <m:r>
                    <m:rPr>
                      <m:sty m:val="p"/>
                    </m:rPr>
                    <m:t>,</m:t>
                  </m:r>
                  <m:r>
                    <m:t>a</m:t>
                  </m:r>
                  <m:r>
                    <m:rPr>
                      <m:sty m:val="p"/>
                    </m:rPr>
                    <m:t>,</m:t>
                  </m:r>
                  <m:r>
                    <m:t>y</m:t>
                  </m:r>
                </m:sub>
                <m:sup>
                  <m:r>
                    <m:t>I</m:t>
                  </m:r>
                </m:sup>
              </m:sSubSup>
              <m:r>
                <m:rPr>
                  <m:sty m:val="p"/>
                </m:rPr>
                <m:t>.</m:t>
              </m:r>
            </m:e>
          </m:eqArr>
        </m:oMath>
      </m:oMathPara>
    </w:p>
    <w:p>
      <w:pPr>
        <w:pStyle w:val="FirstParagraph"/>
      </w:pPr>
      <w:r>
        <w:t xml:space="preserve">where</w:t>
      </w:r>
      <w:r>
        <w:t xml:space="preserve"> </w:t>
      </w:r>
      <m:oMath>
        <m:sSub>
          <m:e>
            <m:r>
              <m:t>λ</m:t>
            </m:r>
          </m:e>
          <m:sub>
            <m:r>
              <m:t>i</m:t>
            </m:r>
          </m:sub>
        </m:sSub>
      </m:oMath>
      <w:r>
        <w:t xml:space="preserve"> </w:t>
      </w:r>
      <w:r>
        <w:t xml:space="preserve">places the survey or CPUE observation within the year. This expression is schematic because some indices are closer to numbers-at-age and others to biomass, but it captures the model logic used across the SC13 index components.</w:t>
      </w:r>
    </w:p>
    <w:bookmarkEnd w:id="157"/>
    <w:bookmarkStart w:id="158" w:name="age-and-length-compositions"/>
    <w:p>
      <w:pPr>
        <w:pStyle w:val="Heading2"/>
      </w:pPr>
      <w:r>
        <w:t xml:space="preserve">7.6 Age and Length Compositions</w:t>
      </w:r>
    </w:p>
    <w:p>
      <w:pPr>
        <w:pStyle w:val="FirstParagraph"/>
      </w:pPr>
      <w:r>
        <w:t xml:space="preserve">Predicted fishery or survey age composition is obtained by normalizing predicted numbers-at-age in the relevant observation:</w:t>
      </w:r>
    </w:p>
    <w:p>
      <w:pPr>
        <w:pStyle w:val="BodyText"/>
      </w:pPr>
      <m:oMathPara>
        <m:oMathParaPr>
          <m:jc m:val="center"/>
        </m:oMathParaPr>
        <m:oMath>
          <m:sSubSup>
            <m:e>
              <m:r>
                <m:t>p</m:t>
              </m:r>
            </m:e>
            <m:sub>
              <m:r>
                <m:t>g</m:t>
              </m:r>
              <m:r>
                <m:rPr>
                  <m:sty m:val="p"/>
                </m:rPr>
                <m:t>,</m:t>
              </m:r>
              <m:r>
                <m:t>a</m:t>
              </m:r>
              <m:r>
                <m:rPr>
                  <m:sty m:val="p"/>
                </m:rPr>
                <m:t>,</m:t>
              </m:r>
              <m:r>
                <m:t>y</m:t>
              </m:r>
            </m:sub>
            <m:sup>
              <m:r>
                <m:rPr>
                  <m:sty m:val="p"/>
                </m:rPr>
                <m:t>a</m:t>
              </m:r>
              <m:r>
                <m:rPr>
                  <m:sty m:val="p"/>
                </m:rPr>
                <m:t>g</m:t>
              </m:r>
              <m:r>
                <m:rPr>
                  <m:sty m:val="p"/>
                </m:rPr>
                <m:t>e</m:t>
              </m:r>
            </m:sup>
          </m:sSubSup>
          <m:r>
            <m:rPr>
              <m:sty m:val="p"/>
            </m:rPr>
            <m:t>=</m:t>
          </m:r>
          <m:f>
            <m:fPr>
              <m:type m:val="bar"/>
            </m:fPr>
            <m:num>
              <m:sSubSup>
                <m:e>
                  <m:r>
                    <m:t>n</m:t>
                  </m:r>
                </m:e>
                <m:sub>
                  <m:r>
                    <m:t>g</m:t>
                  </m:r>
                  <m:r>
                    <m:rPr>
                      <m:sty m:val="p"/>
                    </m:rPr>
                    <m:t>,</m:t>
                  </m:r>
                  <m:r>
                    <m:t>a</m:t>
                  </m:r>
                  <m:r>
                    <m:rPr>
                      <m:sty m:val="p"/>
                    </m:rPr>
                    <m:t>,</m:t>
                  </m:r>
                  <m:r>
                    <m:t>y</m:t>
                  </m:r>
                </m:sub>
                <m:sup>
                  <m:r>
                    <m:rPr>
                      <m:sty m:val="p"/>
                    </m:rPr>
                    <m:t>p</m:t>
                  </m:r>
                  <m:r>
                    <m:rPr>
                      <m:sty m:val="p"/>
                    </m:rPr>
                    <m:t>r</m:t>
                  </m:r>
                  <m:r>
                    <m:rPr>
                      <m:sty m:val="p"/>
                    </m:rPr>
                    <m:t>e</m:t>
                  </m:r>
                  <m:r>
                    <m:rPr>
                      <m:sty m:val="p"/>
                    </m:rPr>
                    <m:t>d</m:t>
                  </m:r>
                </m:sup>
              </m:sSubSup>
            </m:num>
            <m:den>
              <m:nary>
                <m:naryPr>
                  <m:chr m:val="∑"/>
                  <m:limLoc m:val="undOvr"/>
                  <m:subHide m:val="off"/>
                  <m:supHide m:val="on"/>
                </m:naryPr>
                <m:sub>
                  <m:r>
                    <m:t>a</m:t>
                  </m:r>
                </m:sub>
                <m:sup>
                  <m:r>
                    <m:t>​</m:t>
                  </m:r>
                </m:sup>
                <m:e>
                  <m:sSubSup>
                    <m:e>
                      <m:r>
                        <m:t>n</m:t>
                      </m:r>
                    </m:e>
                    <m:sub>
                      <m:r>
                        <m:t>g</m:t>
                      </m:r>
                      <m:r>
                        <m:rPr>
                          <m:sty m:val="p"/>
                        </m:rPr>
                        <m:t>,</m:t>
                      </m:r>
                      <m:r>
                        <m:t>a</m:t>
                      </m:r>
                      <m:r>
                        <m:rPr>
                          <m:sty m:val="p"/>
                        </m:rPr>
                        <m:t>,</m:t>
                      </m:r>
                      <m:r>
                        <m:t>y</m:t>
                      </m:r>
                    </m:sub>
                    <m:sup>
                      <m:r>
                        <m:rPr>
                          <m:sty m:val="p"/>
                        </m:rPr>
                        <m:t>p</m:t>
                      </m:r>
                      <m:r>
                        <m:rPr>
                          <m:sty m:val="p"/>
                        </m:rPr>
                        <m:t>r</m:t>
                      </m:r>
                      <m:r>
                        <m:rPr>
                          <m:sty m:val="p"/>
                        </m:rPr>
                        <m:t>e</m:t>
                      </m:r>
                      <m:r>
                        <m:rPr>
                          <m:sty m:val="p"/>
                        </m:rPr>
                        <m:t>d</m:t>
                      </m:r>
                    </m:sup>
                  </m:sSubSup>
                </m:e>
              </m:nary>
            </m:den>
          </m:f>
          <m:r>
            <m:rPr>
              <m:sty m:val="p"/>
            </m:rPr>
            <m:t>.</m:t>
          </m:r>
        </m:oMath>
      </m:oMathPara>
    </w:p>
    <w:p>
      <w:pPr>
        <w:pStyle w:val="FirstParagraph"/>
      </w:pPr>
      <w:r>
        <w:t xml:space="preserve">where</w:t>
      </w:r>
      <w:r>
        <w:t xml:space="preserve"> </w:t>
      </w:r>
      <m:oMath>
        <m:r>
          <m:t>g</m:t>
        </m:r>
      </m:oMath>
      <w:r>
        <w:t xml:space="preserve"> </w:t>
      </w:r>
      <w:r>
        <w:t xml:space="preserve">denotes the fleet or survey being sampled.</w:t>
      </w:r>
    </w:p>
    <w:p>
      <w:pPr>
        <w:pStyle w:val="BodyText"/>
      </w:pPr>
      <w:r>
        <w:t xml:space="preserve">For the Far North fleet, predicted age compositions are converted to predicted length compositions through the growth model:</w:t>
      </w:r>
    </w:p>
    <w:p>
      <w:pPr>
        <w:pStyle w:val="BodyText"/>
      </w:pPr>
      <m:oMathPara>
        <m:oMathParaPr>
          <m:jc m:val="center"/>
        </m:oMathParaPr>
        <m:oMath>
          <m:sSubSup>
            <m:e>
              <m:r>
                <m:t>p</m:t>
              </m:r>
            </m:e>
            <m:sub>
              <m:r>
                <m:t>f</m:t>
              </m:r>
              <m:r>
                <m:rPr>
                  <m:sty m:val="p"/>
                </m:rPr>
                <m:t>,</m:t>
              </m:r>
              <m:r>
                <m:t>l</m:t>
              </m:r>
              <m:r>
                <m:rPr>
                  <m:sty m:val="p"/>
                </m:rPr>
                <m:t>,</m:t>
              </m:r>
              <m:r>
                <m:t>y</m:t>
              </m:r>
            </m:sub>
            <m:sup>
              <m:r>
                <m:rPr>
                  <m:sty m:val="p"/>
                </m:rPr>
                <m:t>l</m:t>
              </m:r>
              <m:r>
                <m:rPr>
                  <m:sty m:val="p"/>
                </m:rPr>
                <m:t>e</m:t>
              </m:r>
              <m:r>
                <m:rPr>
                  <m:sty m:val="p"/>
                </m:rPr>
                <m:t>n</m:t>
              </m:r>
            </m:sup>
          </m:sSubSup>
          <m:r>
            <m:rPr>
              <m:sty m:val="p"/>
            </m:rPr>
            <m:t>=</m:t>
          </m:r>
          <m:nary>
            <m:naryPr>
              <m:chr m:val="∑"/>
              <m:limLoc m:val="undOvr"/>
              <m:subHide m:val="off"/>
              <m:supHide m:val="on"/>
            </m:naryPr>
            <m:sub>
              <m:r>
                <m:t>a</m:t>
              </m:r>
            </m:sub>
            <m:sup>
              <m:r>
                <m:t>​</m:t>
              </m:r>
            </m:sup>
            <m:e>
              <m:sSubSup>
                <m:e>
                  <m:r>
                    <m:t>p</m:t>
                  </m:r>
                </m:e>
                <m:sub>
                  <m:r>
                    <m:t>f</m:t>
                  </m:r>
                  <m:r>
                    <m:rPr>
                      <m:sty m:val="p"/>
                    </m:rPr>
                    <m:t>,</m:t>
                  </m:r>
                  <m:r>
                    <m:t>a</m:t>
                  </m:r>
                  <m:r>
                    <m:rPr>
                      <m:sty m:val="p"/>
                    </m:rPr>
                    <m:t>,</m:t>
                  </m:r>
                  <m:r>
                    <m:t>y</m:t>
                  </m:r>
                </m:sub>
                <m:sup>
                  <m:r>
                    <m:rPr>
                      <m:sty m:val="p"/>
                    </m:rPr>
                    <m:t>a</m:t>
                  </m:r>
                  <m:r>
                    <m:rPr>
                      <m:sty m:val="p"/>
                    </m:rPr>
                    <m:t>g</m:t>
                  </m:r>
                  <m:r>
                    <m:rPr>
                      <m:sty m:val="p"/>
                    </m:rPr>
                    <m:t>e</m:t>
                  </m:r>
                </m:sup>
              </m:sSubSup>
            </m:e>
          </m:nary>
          <m:r>
            <m:t> </m:t>
          </m:r>
          <m:sSub>
            <m:e>
              <m:r>
                <m:t>g</m:t>
              </m:r>
            </m:e>
            <m:sub>
              <m:r>
                <m:t>f</m:t>
              </m:r>
              <m:r>
                <m:rPr>
                  <m:sty m:val="p"/>
                </m:rPr>
                <m:t>,</m:t>
              </m:r>
              <m:r>
                <m:t>l</m:t>
              </m:r>
              <m:r>
                <m:rPr>
                  <m:sty m:val="p"/>
                </m:rPr>
                <m:t>∣</m:t>
              </m:r>
              <m:r>
                <m:t>a</m:t>
              </m:r>
            </m:sub>
          </m:sSub>
          <m:r>
            <m:rPr>
              <m:sty m:val="p"/>
            </m:rPr>
            <m:t>.</m:t>
          </m:r>
        </m:oMath>
      </m:oMathPara>
    </w:p>
    <w:p>
      <w:pPr>
        <w:pStyle w:val="FirstParagraph"/>
      </w:pPr>
      <w:r>
        <w:t xml:space="preserve">where</w:t>
      </w:r>
      <w:r>
        <w:t xml:space="preserve"> </w:t>
      </w:r>
      <m:oMath>
        <m:sSub>
          <m:e>
            <m:r>
              <m:t>g</m:t>
            </m:r>
          </m:e>
          <m:sub>
            <m:r>
              <m:t>f</m:t>
            </m:r>
            <m:r>
              <m:rPr>
                <m:sty m:val="p"/>
              </m:rPr>
              <m:t>,</m:t>
            </m:r>
            <m:r>
              <m:t>l</m:t>
            </m:r>
            <m:r>
              <m:rPr>
                <m:sty m:val="p"/>
              </m:rPr>
              <m:t>∣</m:t>
            </m:r>
            <m:r>
              <m:t>a</m:t>
            </m:r>
          </m:sub>
        </m:sSub>
      </m:oMath>
      <w:r>
        <w:t xml:space="preserve"> </w:t>
      </w:r>
      <w:r>
        <w:t xml:space="preserve">is the probability of a fish of age</w:t>
      </w:r>
      <w:r>
        <w:t xml:space="preserve"> </w:t>
      </w:r>
      <m:oMath>
        <m:r>
          <m:t>a</m:t>
        </m:r>
      </m:oMath>
      <w:r>
        <w:t xml:space="preserve"> </w:t>
      </w:r>
      <w:r>
        <w:t xml:space="preserve">being observed in length bin</w:t>
      </w:r>
      <w:r>
        <w:t xml:space="preserve"> </w:t>
      </w:r>
      <m:oMath>
        <m:r>
          <m:t>l</m:t>
        </m:r>
      </m:oMath>
      <w:r>
        <w:t xml:space="preserve">, derived from the von Bertalanffy growth specification used by the model.</w:t>
      </w:r>
    </w:p>
    <w:bookmarkEnd w:id="158"/>
    <w:bookmarkStart w:id="159" w:name="observation-likelihoods"/>
    <w:p>
      <w:pPr>
        <w:pStyle w:val="Heading2"/>
      </w:pPr>
      <w:r>
        <w:t xml:space="preserve">7.7 Observation Likelihoods</w:t>
      </w:r>
    </w:p>
    <w:p>
      <w:pPr>
        <w:pStyle w:val="FirstParagraph"/>
      </w:pPr>
      <w:r>
        <w:t xml:space="preserve">The annex indicates log-normal likelihoods for catches and abundance indices, and multinomial likelihoods for age and length compositions.</w:t>
      </w:r>
    </w:p>
    <w:p>
      <w:pPr>
        <w:pStyle w:val="BodyText"/>
      </w:pPr>
      <w:r>
        <w:t xml:space="preserve">For catches and indices, the negative log-likelihood contribution is written schematically as</w:t>
      </w:r>
    </w:p>
    <w:p>
      <w:pPr>
        <w:pStyle w:val="BodyText"/>
      </w:pPr>
      <m:oMathPara>
        <m:oMathParaPr>
          <m:jc m:val="center"/>
        </m:oMathParaPr>
        <m:oMath>
          <m:sSub>
            <m:e>
              <m:r>
                <m:t>ℓ</m:t>
              </m:r>
            </m:e>
            <m:sub>
              <m:r>
                <m:rPr>
                  <m:sty m:val="p"/>
                </m:rPr>
                <m:t>L</m:t>
              </m:r>
              <m:r>
                <m:rPr>
                  <m:sty m:val="p"/>
                </m:rPr>
                <m:t>N</m:t>
              </m:r>
            </m:sub>
          </m:sSub>
          <m:r>
            <m:rPr>
              <m:sty m:val="p"/>
            </m:rPr>
            <m:t>=</m:t>
          </m:r>
          <m:nary>
            <m:naryPr>
              <m:chr m:val="∑"/>
              <m:limLoc m:val="undOvr"/>
              <m:subHide m:val="off"/>
              <m:supHide m:val="on"/>
            </m:naryPr>
            <m:sub>
              <m:r>
                <m:t>y</m:t>
              </m:r>
            </m:sub>
            <m:sup>
              <m:r>
                <m:t>​</m:t>
              </m:r>
            </m:sup>
            <m:e>
              <m:f>
                <m:fPr>
                  <m:type m:val="bar"/>
                </m:fPr>
                <m:num>
                  <m:sSup>
                    <m:e>
                      <m:d>
                        <m:dPr>
                          <m:begChr m:val="["/>
                          <m:sepChr m:val=""/>
                          <m:endChr m:val="]"/>
                          <m:grow/>
                        </m:dPr>
                        <m:e>
                          <m:r>
                            <m:rPr>
                              <m:sty m:val="p"/>
                            </m:rPr>
                            <m:t>log</m:t>
                          </m:r>
                          <m:r>
                            <m:rPr>
                              <m:sty m:val="p"/>
                            </m:rPr>
                            <m:t>(</m:t>
                          </m:r>
                          <m:sSub>
                            <m:e>
                              <m:r>
                                <m:t>O</m:t>
                              </m:r>
                            </m:e>
                            <m:sub>
                              <m:r>
                                <m:t>y</m:t>
                              </m:r>
                            </m:sub>
                          </m:sSub>
                          <m:r>
                            <m:rPr>
                              <m:sty m:val="p"/>
                            </m:rPr>
                            <m:t>)</m:t>
                          </m:r>
                          <m:r>
                            <m:rPr>
                              <m:sty m:val="p"/>
                            </m:rPr>
                            <m:t>−</m:t>
                          </m:r>
                          <m:r>
                            <m:rPr>
                              <m:sty m:val="p"/>
                            </m:rPr>
                            <m:t>log</m:t>
                          </m:r>
                          <m:r>
                            <m:rPr>
                              <m:sty m:val="p"/>
                            </m:rPr>
                            <m:t>(</m:t>
                          </m:r>
                          <m:sSub>
                            <m:e>
                              <m:r>
                                <m:t>P</m:t>
                              </m:r>
                            </m:e>
                            <m:sub>
                              <m:r>
                                <m:t>y</m:t>
                              </m:r>
                            </m:sub>
                          </m:sSub>
                          <m:r>
                            <m:rPr>
                              <m:sty m:val="p"/>
                            </m:rPr>
                            <m:t>)</m:t>
                          </m:r>
                        </m:e>
                      </m:d>
                    </m:e>
                    <m:sup>
                      <m:r>
                        <m:t>2</m:t>
                      </m:r>
                    </m:sup>
                  </m:sSup>
                </m:num>
                <m:den>
                  <m:r>
                    <m:t>2</m:t>
                  </m:r>
                  <m:sSubSup>
                    <m:e>
                      <m:r>
                        <m:t>σ</m:t>
                      </m:r>
                    </m:e>
                    <m:sub>
                      <m:r>
                        <m:t>y</m:t>
                      </m:r>
                    </m:sub>
                    <m:sup>
                      <m:r>
                        <m:t>2</m:t>
                      </m:r>
                    </m:sup>
                  </m:sSubSup>
                </m:den>
              </m:f>
            </m:e>
          </m:nary>
          <m:r>
            <m:rPr>
              <m:sty m:val="p"/>
            </m:rPr>
            <m:t>.</m:t>
          </m:r>
        </m:oMath>
      </m:oMathPara>
    </w:p>
    <w:p>
      <w:pPr>
        <w:pStyle w:val="FirstParagraph"/>
      </w:pPr>
      <w:r>
        <w:t xml:space="preserve">where</w:t>
      </w:r>
      <w:r>
        <w:t xml:space="preserve"> </w:t>
      </w:r>
      <m:oMath>
        <m:sSub>
          <m:e>
            <m:r>
              <m:t>O</m:t>
            </m:r>
          </m:e>
          <m:sub>
            <m:r>
              <m:t>y</m:t>
            </m:r>
          </m:sub>
        </m:sSub>
      </m:oMath>
      <w:r>
        <w:t xml:space="preserve"> </w:t>
      </w:r>
      <w:r>
        <w:t xml:space="preserve">and</w:t>
      </w:r>
      <w:r>
        <w:t xml:space="preserve"> </w:t>
      </w:r>
      <m:oMath>
        <m:sSub>
          <m:e>
            <m:r>
              <m:t>P</m:t>
            </m:r>
          </m:e>
          <m:sub>
            <m:r>
              <m:t>y</m:t>
            </m:r>
          </m:sub>
        </m:sSub>
      </m:oMath>
      <w:r>
        <w:t xml:space="preserve"> </w:t>
      </w:r>
      <w:r>
        <w:t xml:space="preserve">are observed and predicted values.</w:t>
      </w:r>
    </w:p>
    <w:p>
      <w:pPr>
        <w:pStyle w:val="BodyText"/>
      </w:pPr>
      <w:r>
        <w:t xml:space="preserve">For age or length compositions, with effective sample size</w:t>
      </w:r>
      <w:r>
        <w:t xml:space="preserve"> </w:t>
      </w:r>
      <m:oMath>
        <m:sSub>
          <m:e>
            <m:r>
              <m:t>n</m:t>
            </m:r>
          </m:e>
          <m:sub>
            <m:r>
              <m:t>g</m:t>
            </m:r>
            <m:r>
              <m:rPr>
                <m:sty m:val="p"/>
              </m:rPr>
              <m:t>,</m:t>
            </m:r>
            <m:r>
              <m:t>y</m:t>
            </m:r>
          </m:sub>
        </m:sSub>
      </m:oMath>
      <w:r>
        <w:t xml:space="preserve">,</w:t>
      </w:r>
    </w:p>
    <w:p>
      <w:pPr>
        <w:pStyle w:val="BodyText"/>
      </w:pPr>
      <m:oMathPara>
        <m:oMathParaPr>
          <m:jc m:val="center"/>
        </m:oMathParaPr>
        <m:oMath>
          <m:sSub>
            <m:e>
              <m:r>
                <m:t>ℓ</m:t>
              </m:r>
            </m:e>
            <m:sub>
              <m:r>
                <m:rPr>
                  <m:sty m:val="p"/>
                </m:rPr>
                <m:t>m</m:t>
              </m:r>
              <m:r>
                <m:rPr>
                  <m:sty m:val="p"/>
                </m:rPr>
                <m:t>u</m:t>
              </m:r>
              <m:r>
                <m:rPr>
                  <m:sty m:val="p"/>
                </m:rPr>
                <m:t>l</m:t>
              </m:r>
              <m:r>
                <m:rPr>
                  <m:sty m:val="p"/>
                </m:rPr>
                <m:t>t</m:t>
              </m:r>
            </m:sub>
          </m:sSub>
          <m:r>
            <m:rPr>
              <m:sty m:val="p"/>
            </m:rPr>
            <m:t>=</m:t>
          </m:r>
          <m:r>
            <m:rPr>
              <m:sty m:val="p"/>
            </m:rPr>
            <m:t>−</m:t>
          </m:r>
          <m:nary>
            <m:naryPr>
              <m:chr m:val="∑"/>
              <m:limLoc m:val="undOvr"/>
              <m:subHide m:val="off"/>
              <m:supHide m:val="on"/>
            </m:naryPr>
            <m:sub>
              <m:r>
                <m:t>y</m:t>
              </m:r>
            </m:sub>
            <m:sup>
              <m:r>
                <m:t>​</m:t>
              </m:r>
            </m:sup>
            <m:e>
              <m:sSub>
                <m:e>
                  <m:r>
                    <m:t>n</m:t>
                  </m:r>
                </m:e>
                <m:sub>
                  <m:r>
                    <m:t>g</m:t>
                  </m:r>
                  <m:r>
                    <m:rPr>
                      <m:sty m:val="p"/>
                    </m:rPr>
                    <m:t>,</m:t>
                  </m:r>
                  <m:r>
                    <m:t>y</m:t>
                  </m:r>
                </m:sub>
              </m:sSub>
            </m:e>
          </m:nary>
          <m:nary>
            <m:naryPr>
              <m:chr m:val="∑"/>
              <m:limLoc m:val="undOvr"/>
              <m:subHide m:val="off"/>
              <m:supHide m:val="on"/>
            </m:naryPr>
            <m:sub>
              <m:r>
                <m:t>k</m:t>
              </m:r>
            </m:sub>
            <m:sup>
              <m:r>
                <m:t>​</m:t>
              </m:r>
            </m:sup>
            <m:e>
              <m:sSub>
                <m:e>
                  <m:r>
                    <m:t>o</m:t>
                  </m:r>
                </m:e>
                <m:sub>
                  <m:r>
                    <m:t>g</m:t>
                  </m:r>
                  <m:r>
                    <m:rPr>
                      <m:sty m:val="p"/>
                    </m:rPr>
                    <m:t>,</m:t>
                  </m:r>
                  <m:r>
                    <m:t>k</m:t>
                  </m:r>
                  <m:r>
                    <m:rPr>
                      <m:sty m:val="p"/>
                    </m:rPr>
                    <m:t>,</m:t>
                  </m:r>
                  <m:r>
                    <m:t>y</m:t>
                  </m:r>
                </m:sub>
              </m:sSub>
            </m:e>
          </m:nary>
          <m:r>
            <m:rPr>
              <m:sty m:val="p"/>
            </m:rPr>
            <m:t>log</m:t>
          </m:r>
          <m:d>
            <m:dPr>
              <m:begChr m:val="("/>
              <m:sepChr m:val=""/>
              <m:endChr m:val=")"/>
              <m:grow/>
            </m:dPr>
            <m:e>
              <m:sSub>
                <m:e>
                  <m:r>
                    <m:t>p</m:t>
                  </m:r>
                </m:e>
                <m:sub>
                  <m:r>
                    <m:t>g</m:t>
                  </m:r>
                  <m:r>
                    <m:rPr>
                      <m:sty m:val="p"/>
                    </m:rPr>
                    <m:t>,</m:t>
                  </m:r>
                  <m:r>
                    <m:t>k</m:t>
                  </m:r>
                  <m:r>
                    <m:rPr>
                      <m:sty m:val="p"/>
                    </m:rPr>
                    <m:t>,</m:t>
                  </m:r>
                  <m:r>
                    <m:t>y</m:t>
                  </m:r>
                </m:sub>
              </m:sSub>
            </m:e>
          </m:d>
          <m:r>
            <m:rPr>
              <m:sty m:val="p"/>
            </m:rPr>
            <m:t>.</m:t>
          </m:r>
        </m:oMath>
      </m:oMathPara>
    </w:p>
    <w:p>
      <w:pPr>
        <w:pStyle w:val="FirstParagraph"/>
      </w:pPr>
      <w:r>
        <w:t xml:space="preserve">where</w:t>
      </w:r>
      <w:r>
        <w:t xml:space="preserve"> </w:t>
      </w:r>
      <m:oMath>
        <m:r>
          <m:t>k</m:t>
        </m:r>
      </m:oMath>
      <w:r>
        <w:t xml:space="preserve"> </w:t>
      </w:r>
      <w:r>
        <w:t xml:space="preserve">indexes age or length bins,</w:t>
      </w:r>
      <w:r>
        <w:t xml:space="preserve"> </w:t>
      </w:r>
      <m:oMath>
        <m:sSub>
          <m:e>
            <m:r>
              <m:t>o</m:t>
            </m:r>
          </m:e>
          <m:sub>
            <m:r>
              <m:t>g</m:t>
            </m:r>
            <m:r>
              <m:rPr>
                <m:sty m:val="p"/>
              </m:rPr>
              <m:t>,</m:t>
            </m:r>
            <m:r>
              <m:t>k</m:t>
            </m:r>
            <m:r>
              <m:rPr>
                <m:sty m:val="p"/>
              </m:rPr>
              <m:t>,</m:t>
            </m:r>
            <m:r>
              <m:t>y</m:t>
            </m:r>
          </m:sub>
        </m:sSub>
      </m:oMath>
      <w:r>
        <w:t xml:space="preserve"> </w:t>
      </w:r>
      <w:r>
        <w:t xml:space="preserve">is the observed proportion, and</w:t>
      </w:r>
      <w:r>
        <w:t xml:space="preserve"> </w:t>
      </w:r>
      <m:oMath>
        <m:sSub>
          <m:e>
            <m:r>
              <m:t>p</m:t>
            </m:r>
          </m:e>
          <m:sub>
            <m:r>
              <m:t>g</m:t>
            </m:r>
            <m:r>
              <m:rPr>
                <m:sty m:val="p"/>
              </m:rPr>
              <m:t>,</m:t>
            </m:r>
            <m:r>
              <m:t>k</m:t>
            </m:r>
            <m:r>
              <m:rPr>
                <m:sty m:val="p"/>
              </m:rPr>
              <m:t>,</m:t>
            </m:r>
            <m:r>
              <m:t>y</m:t>
            </m:r>
          </m:sub>
        </m:sSub>
      </m:oMath>
      <w:r>
        <w:t xml:space="preserve"> </w:t>
      </w:r>
      <w:r>
        <w:t xml:space="preserve">is the predicted proportion.</w:t>
      </w:r>
    </w:p>
    <w:p>
      <w:pPr>
        <w:pStyle w:val="BodyText"/>
      </w:pPr>
      <w:r>
        <w:t xml:space="preserve">The SC13 model uses Francis weighting for age-composition effective sample sizes, so the composition likelihood is strongly affected by those externally specified weights.</w:t>
      </w:r>
    </w:p>
    <w:bookmarkEnd w:id="159"/>
    <w:bookmarkStart w:id="160" w:name="objective-function"/>
    <w:p>
      <w:pPr>
        <w:pStyle w:val="Heading2"/>
      </w:pPr>
      <w:r>
        <w:t xml:space="preserve">7.8 Objective Function</w:t>
      </w:r>
    </w:p>
    <w:p>
      <w:pPr>
        <w:pStyle w:val="FirstParagraph"/>
      </w:pPr>
      <w:r>
        <w:t xml:space="preserve">The full estimation criterion combines data likelihoods, priors, and smoothing penalties:</w:t>
      </w:r>
    </w:p>
    <w:p>
      <w:pPr>
        <w:pStyle w:val="BodyText"/>
      </w:pPr>
      <m:oMathPara>
        <m:oMathParaPr>
          <m:jc m:val="center"/>
        </m:oMathParaPr>
        <m:oMath>
          <m:r>
            <m:rPr>
              <m:scr m:val="script"/>
              <m:sty m:val="p"/>
            </m:rPr>
            <m:t>L</m:t>
          </m:r>
          <m:r>
            <m:rPr>
              <m:sty m:val="p"/>
            </m:rPr>
            <m:t>=</m:t>
          </m:r>
          <m:sSub>
            <m:e>
              <m:r>
                <m:t>ℓ</m:t>
              </m:r>
            </m:e>
            <m:sub>
              <m:r>
                <m:rPr>
                  <m:sty m:val="p"/>
                </m:rPr>
                <m:t>c</m:t>
              </m:r>
              <m:r>
                <m:rPr>
                  <m:sty m:val="p"/>
                </m:rPr>
                <m:t>a</m:t>
              </m:r>
              <m:r>
                <m:rPr>
                  <m:sty m:val="p"/>
                </m:rPr>
                <m:t>t</m:t>
              </m:r>
              <m:r>
                <m:rPr>
                  <m:sty m:val="p"/>
                </m:rPr>
                <m:t>c</m:t>
              </m:r>
              <m:r>
                <m:rPr>
                  <m:sty m:val="p"/>
                </m:rPr>
                <m:t>h</m:t>
              </m:r>
            </m:sub>
          </m:sSub>
          <m:r>
            <m:rPr>
              <m:sty m:val="p"/>
            </m:rPr>
            <m:t>+</m:t>
          </m:r>
          <m:sSub>
            <m:e>
              <m:r>
                <m:t>ℓ</m:t>
              </m:r>
            </m:e>
            <m:sub>
              <m:r>
                <m:rPr>
                  <m:sty m:val="p"/>
                </m:rPr>
                <m:t>i</m:t>
              </m:r>
              <m:r>
                <m:rPr>
                  <m:sty m:val="p"/>
                </m:rPr>
                <m:t>n</m:t>
              </m:r>
              <m:r>
                <m:rPr>
                  <m:sty m:val="p"/>
                </m:rPr>
                <m:t>d</m:t>
              </m:r>
              <m:r>
                <m:rPr>
                  <m:sty m:val="p"/>
                </m:rPr>
                <m:t>e</m:t>
              </m:r>
              <m:r>
                <m:rPr>
                  <m:sty m:val="p"/>
                </m:rPr>
                <m:t>x</m:t>
              </m:r>
            </m:sub>
          </m:sSub>
          <m:r>
            <m:rPr>
              <m:sty m:val="p"/>
            </m:rPr>
            <m:t>+</m:t>
          </m:r>
          <m:sSub>
            <m:e>
              <m:r>
                <m:t>ℓ</m:t>
              </m:r>
            </m:e>
            <m:sub>
              <m:r>
                <m:rPr>
                  <m:sty m:val="p"/>
                </m:rPr>
                <m:t>a</m:t>
              </m:r>
              <m:r>
                <m:rPr>
                  <m:sty m:val="p"/>
                </m:rPr>
                <m:t>g</m:t>
              </m:r>
              <m:r>
                <m:rPr>
                  <m:sty m:val="p"/>
                </m:rPr>
                <m:t>e</m:t>
              </m:r>
            </m:sub>
          </m:sSub>
          <m:r>
            <m:rPr>
              <m:sty m:val="p"/>
            </m:rPr>
            <m:t>+</m:t>
          </m:r>
          <m:sSub>
            <m:e>
              <m:r>
                <m:t>ℓ</m:t>
              </m:r>
            </m:e>
            <m:sub>
              <m:r>
                <m:rPr>
                  <m:sty m:val="p"/>
                </m:rPr>
                <m:t>l</m:t>
              </m:r>
              <m:r>
                <m:rPr>
                  <m:sty m:val="p"/>
                </m:rPr>
                <m:t>e</m:t>
              </m:r>
              <m:r>
                <m:rPr>
                  <m:sty m:val="p"/>
                </m:rPr>
                <m:t>n</m:t>
              </m:r>
            </m:sub>
          </m:sSub>
          <m:r>
            <m:rPr>
              <m:sty m:val="p"/>
            </m:rPr>
            <m:t>+</m:t>
          </m:r>
          <m:sSub>
            <m:e>
              <m:r>
                <m:t>ℓ</m:t>
              </m:r>
            </m:e>
            <m:sub>
              <m:r>
                <m:rPr>
                  <m:sty m:val="p"/>
                </m:rPr>
                <m:t>p</m:t>
              </m:r>
              <m:r>
                <m:rPr>
                  <m:sty m:val="p"/>
                </m:rPr>
                <m:t>r</m:t>
              </m:r>
              <m:r>
                <m:rPr>
                  <m:sty m:val="p"/>
                </m:rPr>
                <m:t>i</m:t>
              </m:r>
              <m:r>
                <m:rPr>
                  <m:sty m:val="p"/>
                </m:rPr>
                <m:t>o</m:t>
              </m:r>
              <m:r>
                <m:rPr>
                  <m:sty m:val="p"/>
                </m:rPr>
                <m:t>r</m:t>
              </m:r>
              <m:r>
                <m:rPr>
                  <m:sty m:val="p"/>
                </m:rPr>
                <m:t>s</m:t>
              </m:r>
            </m:sub>
          </m:sSub>
          <m:r>
            <m:rPr>
              <m:sty m:val="p"/>
            </m:rPr>
            <m:t>+</m:t>
          </m:r>
          <m:sSub>
            <m:e>
              <m:r>
                <m:t>ℓ</m:t>
              </m:r>
            </m:e>
            <m:sub>
              <m:r>
                <m:rPr>
                  <m:sty m:val="p"/>
                </m:rPr>
                <m:t>s</m:t>
              </m:r>
              <m:r>
                <m:rPr>
                  <m:sty m:val="p"/>
                </m:rPr>
                <m:t>e</m:t>
              </m:r>
              <m:r>
                <m:rPr>
                  <m:sty m:val="p"/>
                </m:rPr>
                <m:t>l</m:t>
              </m:r>
            </m:sub>
          </m:sSub>
          <m:r>
            <m:rPr>
              <m:sty m:val="p"/>
            </m:rPr>
            <m:t>.</m:t>
          </m:r>
        </m:oMath>
      </m:oMathPara>
    </w:p>
    <w:p>
      <w:pPr>
        <w:pStyle w:val="FirstParagraph"/>
      </w:pPr>
      <w:r>
        <w:t xml:space="preserve">The final term,</w:t>
      </w:r>
      <w:r>
        <w:t xml:space="preserve"> </w:t>
      </w:r>
      <m:oMath>
        <m:sSub>
          <m:e>
            <m:r>
              <m:t>ℓ</m:t>
            </m:r>
          </m:e>
          <m:sub>
            <m:r>
              <m:rPr>
                <m:sty m:val="p"/>
              </m:rPr>
              <m:t>s</m:t>
            </m:r>
            <m:r>
              <m:rPr>
                <m:sty m:val="p"/>
              </m:rPr>
              <m:t>e</m:t>
            </m:r>
            <m:r>
              <m:rPr>
                <m:sty m:val="p"/>
              </m:rPr>
              <m:t>l</m:t>
            </m:r>
          </m:sub>
        </m:sSub>
      </m:oMath>
      <w:r>
        <w:t xml:space="preserve">, is especially important in SC13 because the model includes extensive penalties on fishery and survey selectivity trajectories to regularize the time-varying non-parametric selectivity schedules.</w:t>
      </w:r>
    </w:p>
    <w:bookmarkEnd w:id="160"/>
    <w:bookmarkStart w:id="161" w:name="dynamic-reference-points"/>
    <w:p>
      <w:pPr>
        <w:pStyle w:val="Heading2"/>
      </w:pPr>
      <w:r>
        <w:t xml:space="preserve">7.9 Dynamic Reference Points</w:t>
      </w:r>
    </w:p>
    <w:p>
      <w:pPr>
        <w:pStyle w:val="FirstParagraph"/>
      </w:pPr>
      <w:r>
        <w:t xml:space="preserve">The annex states that the JJM calculates equilibrium reference points internally using terminal-year catch shares, selectivity-at-age, and weights-at-age. In compact form,</w:t>
      </w:r>
    </w:p>
    <w:p>
      <w:pPr>
        <w:pStyle w:val="BodyText"/>
      </w:pPr>
      <m:oMathPara>
        <m:oMathParaPr>
          <m:jc m:val="center"/>
        </m:oMathParaPr>
        <m:oMath>
          <m:sSub>
            <m:e>
              <m:r>
                <m:t>F</m:t>
              </m:r>
            </m:e>
            <m:sub>
              <m:r>
                <m:rPr>
                  <m:sty m:val="p"/>
                </m:rPr>
                <m:t>M</m:t>
              </m:r>
              <m:r>
                <m:rPr>
                  <m:sty m:val="p"/>
                </m:rPr>
                <m:t>S</m:t>
              </m:r>
              <m:r>
                <m:rPr>
                  <m:sty m:val="p"/>
                </m:rPr>
                <m:t>Y</m:t>
              </m:r>
              <m:r>
                <m:rPr>
                  <m:sty m:val="p"/>
                </m:rPr>
                <m:t>,</m:t>
              </m:r>
              <m:r>
                <m:t>y</m:t>
              </m:r>
            </m:sub>
          </m:sSub>
          <m:r>
            <m:rPr>
              <m:sty m:val="p"/>
            </m:rPr>
            <m:t>=</m:t>
          </m:r>
          <m:limLow>
            <m:e>
              <m:r>
                <m:rPr>
                  <m:sty m:val="p"/>
                </m:rPr>
                <m:t>arg max</m:t>
              </m:r>
            </m:e>
            <m:lim>
              <m:r>
                <m:t>F</m:t>
              </m:r>
            </m:lim>
          </m:limLow>
          <m:sSubSup>
            <m:e>
              <m:r>
                <m:t>C</m:t>
              </m:r>
            </m:e>
            <m:sub>
              <m:r>
                <m:t>y</m:t>
              </m:r>
            </m:sub>
            <m:sup>
              <m:r>
                <m:rPr>
                  <m:sty m:val="p"/>
                </m:rPr>
                <m:t>e</m:t>
              </m:r>
              <m:r>
                <m:rPr>
                  <m:sty m:val="p"/>
                </m:rPr>
                <m:t>q</m:t>
              </m:r>
            </m:sup>
          </m:sSubSup>
          <m:r>
            <m:rPr>
              <m:sty m:val="p"/>
            </m:rPr>
            <m:t>(</m:t>
          </m:r>
          <m:r>
            <m:t>F</m:t>
          </m:r>
          <m:r>
            <m:rPr>
              <m:sty m:val="p"/>
            </m:rPr>
            <m:t>)</m:t>
          </m:r>
          <m:r>
            <m:rPr>
              <m:sty m:val="p"/>
            </m:rPr>
            <m:t>.</m:t>
          </m:r>
        </m:oMath>
      </m:oMathPara>
    </w:p>
    <w:p>
      <w:pPr>
        <w:pStyle w:val="FirstParagraph"/>
      </w:pPr>
      <m:oMathPara>
        <m:oMathParaPr>
          <m:jc m:val="center"/>
        </m:oMathParaPr>
        <m:oMath>
          <m:r>
            <m:t>M</m:t>
          </m:r>
          <m:r>
            <m:t>S</m:t>
          </m:r>
          <m:sSub>
            <m:e>
              <m:r>
                <m:t>Y</m:t>
              </m:r>
            </m:e>
            <m:sub>
              <m:r>
                <m:t>y</m:t>
              </m:r>
            </m:sub>
          </m:sSub>
          <m:r>
            <m:rPr>
              <m:sty m:val="p"/>
            </m:rPr>
            <m:t>=</m:t>
          </m:r>
          <m:sSubSup>
            <m:e>
              <m:r>
                <m:t>C</m:t>
              </m:r>
            </m:e>
            <m:sub>
              <m:r>
                <m:t>y</m:t>
              </m:r>
            </m:sub>
            <m:sup>
              <m:r>
                <m:rPr>
                  <m:sty m:val="p"/>
                </m:rPr>
                <m:t>e</m:t>
              </m:r>
              <m:r>
                <m:rPr>
                  <m:sty m:val="p"/>
                </m:rPr>
                <m:t>q</m:t>
              </m:r>
            </m:sup>
          </m:sSubSup>
          <m:r>
            <m:rPr>
              <m:sty m:val="p"/>
            </m:rPr>
            <m:t>(</m:t>
          </m:r>
          <m:sSub>
            <m:e>
              <m:r>
                <m:t>F</m:t>
              </m:r>
            </m:e>
            <m:sub>
              <m:r>
                <m:rPr>
                  <m:sty m:val="p"/>
                </m:rPr>
                <m:t>M</m:t>
              </m:r>
              <m:r>
                <m:rPr>
                  <m:sty m:val="p"/>
                </m:rPr>
                <m:t>S</m:t>
              </m:r>
              <m:r>
                <m:rPr>
                  <m:sty m:val="p"/>
                </m:rPr>
                <m:t>Y</m:t>
              </m:r>
              <m:r>
                <m:rPr>
                  <m:sty m:val="p"/>
                </m:rPr>
                <m:t>,</m:t>
              </m:r>
              <m:r>
                <m:t>y</m:t>
              </m:r>
            </m:sub>
          </m:sSub>
          <m:r>
            <m:rPr>
              <m:sty m:val="p"/>
            </m:rPr>
            <m:t>)</m:t>
          </m:r>
          <m:r>
            <m:rPr>
              <m:sty m:val="p"/>
            </m:rPr>
            <m:t>.</m:t>
          </m:r>
        </m:oMath>
      </m:oMathPara>
    </w:p>
    <w:p>
      <w:pPr>
        <w:pStyle w:val="FirstParagraph"/>
      </w:pPr>
      <m:oMathPara>
        <m:oMathParaPr>
          <m:jc m:val="center"/>
        </m:oMathParaPr>
        <m:oMath>
          <m:sSub>
            <m:e>
              <m:r>
                <m:t>B</m:t>
              </m:r>
            </m:e>
            <m:sub>
              <m:r>
                <m:rPr>
                  <m:sty m:val="p"/>
                </m:rPr>
                <m:t>M</m:t>
              </m:r>
              <m:r>
                <m:rPr>
                  <m:sty m:val="p"/>
                </m:rPr>
                <m:t>S</m:t>
              </m:r>
              <m:r>
                <m:rPr>
                  <m:sty m:val="p"/>
                </m:rPr>
                <m:t>Y</m:t>
              </m:r>
              <m:r>
                <m:rPr>
                  <m:sty m:val="p"/>
                </m:rPr>
                <m:t>,</m:t>
              </m:r>
              <m:r>
                <m:t>y</m:t>
              </m:r>
            </m:sub>
          </m:sSub>
          <m:r>
            <m:rPr>
              <m:sty m:val="p"/>
            </m:rPr>
            <m:t>=</m:t>
          </m:r>
          <m:sSubSup>
            <m:e>
              <m:r>
                <m:t>B</m:t>
              </m:r>
            </m:e>
            <m:sub>
              <m:r>
                <m:t>y</m:t>
              </m:r>
            </m:sub>
            <m:sup>
              <m:r>
                <m:rPr>
                  <m:sty m:val="p"/>
                </m:rPr>
                <m:t>e</m:t>
              </m:r>
              <m:r>
                <m:rPr>
                  <m:sty m:val="p"/>
                </m:rPr>
                <m:t>q</m:t>
              </m:r>
            </m:sup>
          </m:sSubSup>
          <m:r>
            <m:rPr>
              <m:sty m:val="p"/>
            </m:rPr>
            <m:t>(</m:t>
          </m:r>
          <m:sSub>
            <m:e>
              <m:r>
                <m:t>F</m:t>
              </m:r>
            </m:e>
            <m:sub>
              <m:r>
                <m:rPr>
                  <m:sty m:val="p"/>
                </m:rPr>
                <m:t>M</m:t>
              </m:r>
              <m:r>
                <m:rPr>
                  <m:sty m:val="p"/>
                </m:rPr>
                <m:t>S</m:t>
              </m:r>
              <m:r>
                <m:rPr>
                  <m:sty m:val="p"/>
                </m:rPr>
                <m:t>Y</m:t>
              </m:r>
              <m:r>
                <m:rPr>
                  <m:sty m:val="p"/>
                </m:rPr>
                <m:t>,</m:t>
              </m:r>
              <m:r>
                <m:t>y</m:t>
              </m:r>
            </m:sub>
          </m:sSub>
          <m:r>
            <m:rPr>
              <m:sty m:val="p"/>
            </m:rPr>
            <m:t>)</m:t>
          </m:r>
          <m:r>
            <m:rPr>
              <m:sty m:val="p"/>
            </m:rPr>
            <m:t>.</m:t>
          </m:r>
        </m:oMath>
      </m:oMathPara>
    </w:p>
    <w:p>
      <w:pPr>
        <w:pStyle w:val="FirstParagraph"/>
      </w:pPr>
      <w:r>
        <w:t xml:space="preserve">where the equilibrium yield and biomass functions are conditional on the terminal-year fishery mix and biological schedules. This is why</w:t>
      </w:r>
      <w:r>
        <w:t xml:space="preserve"> </w:t>
      </w:r>
      <m:oMath>
        <m:sSub>
          <m:e>
            <m:r>
              <m:t>F</m:t>
            </m:r>
          </m:e>
          <m:sub>
            <m:r>
              <m:t>M</m:t>
            </m:r>
            <m:r>
              <m:t>S</m:t>
            </m:r>
            <m:r>
              <m:t>Y</m:t>
            </m:r>
          </m:sub>
        </m:sSub>
      </m:oMath>
      <w:r>
        <w:t xml:space="preserve"> </w:t>
      </w:r>
      <m:oMath>
        <m:r>
          <m:t>M</m:t>
        </m:r>
        <m:r>
          <m:t>S</m:t>
        </m:r>
        <m:r>
          <m:t>Y</m:t>
        </m:r>
      </m:oMath>
      <w:r>
        <w:t xml:space="preserve">, and</w:t>
      </w:r>
      <w:r>
        <w:t xml:space="preserve"> </w:t>
      </w:r>
      <m:oMath>
        <m:sSub>
          <m:e>
            <m:r>
              <m:t>F</m:t>
            </m:r>
          </m:e>
          <m:sub>
            <m:r>
              <m:t>M</m:t>
            </m:r>
            <m:r>
              <m:t>S</m:t>
            </m:r>
            <m:r>
              <m:t>Y</m:t>
            </m:r>
          </m:sub>
        </m:sSub>
      </m:oMath>
      <w:r>
        <w:t xml:space="preserve"> </w:t>
      </w:r>
      <w:r>
        <w:t xml:space="preserve">vary through time in the SC13 assessment rather than remaining fixed constants.</w:t>
      </w:r>
    </w:p>
    <w:bookmarkEnd w:id="161"/>
    <w:bookmarkEnd w:id="162"/>
    <w:bookmarkStart w:id="199" w:name="references"/>
    <w:p>
      <w:pPr>
        <w:pStyle w:val="Heading1"/>
      </w:pPr>
      <w:r>
        <w:t xml:space="preserve">References</w:t>
      </w:r>
    </w:p>
    <w:bookmarkStart w:id="198" w:name="refs"/>
    <w:bookmarkStart w:id="163" w:name="ref-alegre2015diet"/>
    <w:p>
      <w:pPr>
        <w:pStyle w:val="Bibliography"/>
      </w:pPr>
      <w:r>
        <w:t xml:space="preserve">Alegre, A., Bertrand, A., Espino, M., Espinoza, P., Dioses, T., Niquen, M., &amp; Ménard, F. (2015). Diet diversity of jack and chub mackerels and ecosystem changes in the northern</w:t>
      </w:r>
      <w:r>
        <w:t xml:space="preserve"> </w:t>
      </w:r>
      <w:r>
        <w:t xml:space="preserve">Humboldt Current</w:t>
      </w:r>
      <w:r>
        <w:t xml:space="preserve"> </w:t>
      </w:r>
      <w:r>
        <w:t xml:space="preserve">system: A long-term study.</w:t>
      </w:r>
      <w:r>
        <w:t xml:space="preserve"> </w:t>
      </w:r>
      <w:r>
        <w:rPr>
          <w:i/>
          <w:iCs/>
        </w:rPr>
        <w:t xml:space="preserve">Progress in Oceanography</w:t>
      </w:r>
      <w:r>
        <w:t xml:space="preserve">,</w:t>
      </w:r>
      <w:r>
        <w:t xml:space="preserve"> </w:t>
      </w:r>
      <w:r>
        <w:rPr>
          <w:i/>
          <w:iCs/>
        </w:rPr>
        <w:t xml:space="preserve">137</w:t>
      </w:r>
      <w:r>
        <w:t xml:space="preserve">, 299–313.</w:t>
      </w:r>
    </w:p>
    <w:bookmarkEnd w:id="163"/>
    <w:bookmarkStart w:id="164" w:name="ref-alheit2004regime"/>
    <w:p>
      <w:pPr>
        <w:pStyle w:val="Bibliography"/>
      </w:pPr>
      <w:r>
        <w:t xml:space="preserve">Alheit, J., &amp; Niquen, M. (2004). Regime shifts in the</w:t>
      </w:r>
      <w:r>
        <w:t xml:space="preserve"> </w:t>
      </w:r>
      <w:r>
        <w:t xml:space="preserve">Humboldt Current</w:t>
      </w:r>
      <w:r>
        <w:t xml:space="preserve"> </w:t>
      </w:r>
      <w:r>
        <w:t xml:space="preserve">ecosystem.</w:t>
      </w:r>
      <w:r>
        <w:t xml:space="preserve"> </w:t>
      </w:r>
      <w:r>
        <w:rPr>
          <w:i/>
          <w:iCs/>
        </w:rPr>
        <w:t xml:space="preserve">Progress in Oceanography</w:t>
      </w:r>
      <w:r>
        <w:t xml:space="preserve">,</w:t>
      </w:r>
      <w:r>
        <w:t xml:space="preserve"> </w:t>
      </w:r>
      <w:r>
        <w:rPr>
          <w:i/>
          <w:iCs/>
        </w:rPr>
        <w:t xml:space="preserve">60</w:t>
      </w:r>
      <w:r>
        <w:t xml:space="preserve">(2–4), 201–222.</w:t>
      </w:r>
    </w:p>
    <w:bookmarkEnd w:id="164"/>
    <w:bookmarkStart w:id="165" w:name="ref-arones2019spatio"/>
    <w:p>
      <w:pPr>
        <w:pStyle w:val="Bibliography"/>
      </w:pPr>
      <w:r>
        <w:t xml:space="preserve">Arones, K., Grados, D., Ayon, P., &amp; Bertrand, A. (2019). Spatio-temporal trends in zooplankton biomass in the northern</w:t>
      </w:r>
      <w:r>
        <w:t xml:space="preserve"> </w:t>
      </w:r>
      <w:r>
        <w:t xml:space="preserve">Humboldt Current</w:t>
      </w:r>
      <w:r>
        <w:t xml:space="preserve"> </w:t>
      </w:r>
      <w:r>
        <w:t xml:space="preserve">system off</w:t>
      </w:r>
      <w:r>
        <w:t xml:space="preserve"> </w:t>
      </w:r>
      <w:r>
        <w:t xml:space="preserve">Peru</w:t>
      </w:r>
      <w:r>
        <w:t xml:space="preserve"> </w:t>
      </w:r>
      <w:r>
        <w:t xml:space="preserve">from 1961–2012.</w:t>
      </w:r>
      <w:r>
        <w:t xml:space="preserve"> </w:t>
      </w:r>
      <w:r>
        <w:rPr>
          <w:i/>
          <w:iCs/>
        </w:rPr>
        <w:t xml:space="preserve">Deep Sea Research Part II: Topical Studies in Oceanography</w:t>
      </w:r>
      <w:r>
        <w:t xml:space="preserve">,</w:t>
      </w:r>
      <w:r>
        <w:t xml:space="preserve"> </w:t>
      </w:r>
      <w:r>
        <w:rPr>
          <w:i/>
          <w:iCs/>
        </w:rPr>
        <w:t xml:space="preserve">169</w:t>
      </w:r>
      <w:r>
        <w:t xml:space="preserve">, 104656.</w:t>
      </w:r>
    </w:p>
    <w:bookmarkEnd w:id="165"/>
    <w:bookmarkStart w:id="166" w:name="ref-bertrand2011oxygen"/>
    <w:p>
      <w:pPr>
        <w:pStyle w:val="Bibliography"/>
      </w:pPr>
      <w:r>
        <w:t xml:space="preserve">Bertrand, A., Chaigneau, A., Peraltilla, S., Ledesma, J., Graco, M., Monetti, F., &amp; Chavez, F. P. (2011). Oxygen: A fundamental property regulating pelagic ecosystem structure in the coastal southeastern tropical</w:t>
      </w:r>
      <w:r>
        <w:t xml:space="preserve"> </w:t>
      </w:r>
      <w:r>
        <w:t xml:space="preserve">Pacific</w:t>
      </w:r>
      <w:r>
        <w:t xml:space="preserve">.</w:t>
      </w:r>
      <w:r>
        <w:t xml:space="preserve"> </w:t>
      </w:r>
      <w:r>
        <w:rPr>
          <w:i/>
          <w:iCs/>
        </w:rPr>
        <w:t xml:space="preserve">PLOS ONE</w:t>
      </w:r>
      <w:r>
        <w:t xml:space="preserve">,</w:t>
      </w:r>
      <w:r>
        <w:t xml:space="preserve"> </w:t>
      </w:r>
      <w:r>
        <w:rPr>
          <w:i/>
          <w:iCs/>
        </w:rPr>
        <w:t xml:space="preserve">6</w:t>
      </w:r>
      <w:r>
        <w:t xml:space="preserve">(12), e29558.</w:t>
      </w:r>
    </w:p>
    <w:bookmarkEnd w:id="166"/>
    <w:bookmarkStart w:id="167" w:name="ref-beverton1957dynamics"/>
    <w:p>
      <w:pPr>
        <w:pStyle w:val="Bibliography"/>
      </w:pPr>
      <w:r>
        <w:t xml:space="preserve">Beverton, R. J. H., &amp; Holt, S. J. (1957).</w:t>
      </w:r>
      <w:r>
        <w:t xml:space="preserve"> </w:t>
      </w:r>
      <w:r>
        <w:rPr>
          <w:i/>
          <w:iCs/>
        </w:rPr>
        <w:t xml:space="preserve">On the dynamics of exploited fish populations</w:t>
      </w:r>
      <w:r>
        <w:t xml:space="preserve"> </w:t>
      </w:r>
      <w:r>
        <w:t xml:space="preserve">(Vol. 19, p. 533). H. M. Stationery Office.</w:t>
      </w:r>
    </w:p>
    <w:bookmarkEnd w:id="167"/>
    <w:bookmarkStart w:id="169" w:name="ref-butterworth1999procedures"/>
    <w:p>
      <w:pPr>
        <w:pStyle w:val="Bibliography"/>
      </w:pPr>
      <w:r>
        <w:t xml:space="preserve">Butterworth, D. S., &amp; Punt, A. E. (1999). Experiences in the evaluation and implementation of management procedures.</w:t>
      </w:r>
      <w:r>
        <w:t xml:space="preserve"> </w:t>
      </w:r>
      <w:r>
        <w:rPr>
          <w:i/>
          <w:iCs/>
        </w:rPr>
        <w:t xml:space="preserve">ICES Journal of Marine Science</w:t>
      </w:r>
      <w:r>
        <w:t xml:space="preserve">,</w:t>
      </w:r>
      <w:r>
        <w:t xml:space="preserve"> </w:t>
      </w:r>
      <w:r>
        <w:rPr>
          <w:i/>
          <w:iCs/>
        </w:rPr>
        <w:t xml:space="preserve">56</w:t>
      </w:r>
      <w:r>
        <w:t xml:space="preserve">(6), 985–998.</w:t>
      </w:r>
      <w:r>
        <w:t xml:space="preserve"> </w:t>
      </w:r>
      <w:hyperlink r:id="rId168">
        <w:r>
          <w:rPr>
            <w:rStyle w:val="Hyperlink"/>
          </w:rPr>
          <w:t xml:space="preserve">https://doi.org/10.1006/jmsc.1999.0532</w:t>
        </w:r>
      </w:hyperlink>
    </w:p>
    <w:bookmarkEnd w:id="169"/>
    <w:bookmarkStart w:id="171" w:name="ref-carruthers2024roadmap"/>
    <w:p>
      <w:pPr>
        <w:pStyle w:val="Bibliography"/>
      </w:pPr>
      <w:r>
        <w:t xml:space="preserve">Carruthers, T. R. (2024). An updated roadmap for</w:t>
      </w:r>
      <w:r>
        <w:t xml:space="preserve"> </w:t>
      </w:r>
      <w:r>
        <w:t xml:space="preserve">MSE</w:t>
      </w:r>
      <w:r>
        <w:t xml:space="preserve"> </w:t>
      </w:r>
      <w:r>
        <w:t xml:space="preserve">development.</w:t>
      </w:r>
      <w:r>
        <w:t xml:space="preserve"> </w:t>
      </w:r>
      <w:r>
        <w:rPr>
          <w:i/>
          <w:iCs/>
        </w:rPr>
        <w:t xml:space="preserve">Collective Volume of Scientific Papers</w:t>
      </w:r>
      <w:r>
        <w:rPr>
          <w:i/>
          <w:iCs/>
        </w:rPr>
        <w:t xml:space="preserve"> </w:t>
      </w:r>
      <w:r>
        <w:rPr>
          <w:i/>
          <w:iCs/>
        </w:rPr>
        <w:t xml:space="preserve">ICCAT</w:t>
      </w:r>
      <w:r>
        <w:t xml:space="preserve">,</w:t>
      </w:r>
      <w:r>
        <w:t xml:space="preserve"> </w:t>
      </w:r>
      <w:r>
        <w:rPr>
          <w:i/>
          <w:iCs/>
        </w:rPr>
        <w:t xml:space="preserve">81</w:t>
      </w:r>
      <w:r>
        <w:t xml:space="preserve">(2), 1–14.</w:t>
      </w:r>
      <w:r>
        <w:t xml:space="preserve"> </w:t>
      </w:r>
      <w:hyperlink r:id="rId170">
        <w:r>
          <w:rPr>
            <w:rStyle w:val="Hyperlink"/>
          </w:rPr>
          <w:t xml:space="preserve">https://www.iccat.int/Documents/CVSP/CV081_2024/n_2/CV08102149.pdf</w:t>
        </w:r>
      </w:hyperlink>
    </w:p>
    <w:bookmarkEnd w:id="171"/>
    <w:bookmarkStart w:id="172" w:name="ref-chavez2011marine"/>
    <w:p>
      <w:pPr>
        <w:pStyle w:val="Bibliography"/>
      </w:pPr>
      <w:r>
        <w:t xml:space="preserve">Chavez, F. P., Messié, M., &amp; Pennington, J. T. (2011). Marine primary production in relation to climate variability and change.</w:t>
      </w:r>
      <w:r>
        <w:t xml:space="preserve"> </w:t>
      </w:r>
      <w:r>
        <w:rPr>
          <w:i/>
          <w:iCs/>
        </w:rPr>
        <w:t xml:space="preserve">Annual Review of Marine Science</w:t>
      </w:r>
      <w:r>
        <w:t xml:space="preserve">,</w:t>
      </w:r>
      <w:r>
        <w:t xml:space="preserve"> </w:t>
      </w:r>
      <w:r>
        <w:rPr>
          <w:i/>
          <w:iCs/>
        </w:rPr>
        <w:t xml:space="preserve">3</w:t>
      </w:r>
      <w:r>
        <w:t xml:space="preserve">(1), 227–260.</w:t>
      </w:r>
    </w:p>
    <w:bookmarkEnd w:id="172"/>
    <w:bookmarkStart w:id="173" w:name="ref-espino2013jurel"/>
    <w:p>
      <w:pPr>
        <w:pStyle w:val="Bibliography"/>
      </w:pPr>
      <w:r>
        <w:t xml:space="preserve">Espino, M. (2013). El jurel</w:t>
      </w:r>
      <w:r>
        <w:t xml:space="preserve"> </w:t>
      </w:r>
      <w:r>
        <w:rPr>
          <w:i/>
          <w:iCs/>
        </w:rPr>
        <w:t xml:space="preserve">trachurus murphyi</w:t>
      </w:r>
      <w:r>
        <w:t xml:space="preserve"> </w:t>
      </w:r>
      <w:r>
        <w:t xml:space="preserve">y las variables ambientales de macroescala.</w:t>
      </w:r>
      <w:r>
        <w:t xml:space="preserve"> </w:t>
      </w:r>
      <w:r>
        <w:rPr>
          <w:i/>
          <w:iCs/>
        </w:rPr>
        <w:t xml:space="preserve">Revista Peruana de Biología</w:t>
      </w:r>
      <w:r>
        <w:t xml:space="preserve">,</w:t>
      </w:r>
      <w:r>
        <w:t xml:space="preserve"> </w:t>
      </w:r>
      <w:r>
        <w:rPr>
          <w:i/>
          <w:iCs/>
        </w:rPr>
        <w:t xml:space="preserve">20</w:t>
      </w:r>
      <w:r>
        <w:t xml:space="preserve">(1), 9–20.</w:t>
      </w:r>
    </w:p>
    <w:bookmarkEnd w:id="173"/>
    <w:bookmarkStart w:id="175" w:name="ref-fournier2012admb"/>
    <w:p>
      <w:pPr>
        <w:pStyle w:val="Bibliography"/>
      </w:pPr>
      <w:r>
        <w:t xml:space="preserve">Fournier, D. A., Skaug, H. J., Ancheta, J., Ianelli, J., Magnusson, A., Maunder, M. N., Nielsen, A., &amp; Sibert, J. (2012). AD model builder: Using automatic differentiation for statistical inference of highly parameterized complex nonlinear models.</w:t>
      </w:r>
      <w:r>
        <w:t xml:space="preserve"> </w:t>
      </w:r>
      <w:r>
        <w:rPr>
          <w:i/>
          <w:iCs/>
        </w:rPr>
        <w:t xml:space="preserve">Optimization Methods and Software</w:t>
      </w:r>
      <w:r>
        <w:t xml:space="preserve">,</w:t>
      </w:r>
      <w:r>
        <w:t xml:space="preserve"> </w:t>
      </w:r>
      <w:r>
        <w:rPr>
          <w:i/>
          <w:iCs/>
        </w:rPr>
        <w:t xml:space="preserve">27</w:t>
      </w:r>
      <w:r>
        <w:t xml:space="preserve">(2), 233–249.</w:t>
      </w:r>
      <w:r>
        <w:t xml:space="preserve"> </w:t>
      </w:r>
      <w:hyperlink r:id="rId174">
        <w:r>
          <w:rPr>
            <w:rStyle w:val="Hyperlink"/>
          </w:rPr>
          <w:t xml:space="preserve">https://doi.org/10.1080/10556788.2011.597854</w:t>
        </w:r>
      </w:hyperlink>
    </w:p>
    <w:bookmarkEnd w:id="175"/>
    <w:bookmarkStart w:id="177" w:name="ref-fournier1982catchage"/>
    <w:p>
      <w:pPr>
        <w:pStyle w:val="Bibliography"/>
      </w:pPr>
      <w:r>
        <w:t xml:space="preserve">Fournier, D., &amp; Archibald, C. P. (1982). A general theory for analyzing catch at age data.</w:t>
      </w:r>
      <w:r>
        <w:t xml:space="preserve"> </w:t>
      </w:r>
      <w:r>
        <w:rPr>
          <w:i/>
          <w:iCs/>
        </w:rPr>
        <w:t xml:space="preserve">Canadian Journal of Fisheries and Aquatic Sciences</w:t>
      </w:r>
      <w:r>
        <w:t xml:space="preserve">,</w:t>
      </w:r>
      <w:r>
        <w:t xml:space="preserve"> </w:t>
      </w:r>
      <w:r>
        <w:rPr>
          <w:i/>
          <w:iCs/>
        </w:rPr>
        <w:t xml:space="preserve">39</w:t>
      </w:r>
      <w:r>
        <w:t xml:space="preserve">(9), 1195–1207.</w:t>
      </w:r>
      <w:r>
        <w:t xml:space="preserve"> </w:t>
      </w:r>
      <w:hyperlink r:id="rId176">
        <w:r>
          <w:rPr>
            <w:rStyle w:val="Hyperlink"/>
          </w:rPr>
          <w:t xml:space="preserve">https://doi.org/10.1139/f82-157</w:t>
        </w:r>
      </w:hyperlink>
    </w:p>
    <w:bookmarkEnd w:id="177"/>
    <w:bookmarkStart w:id="179" w:name="ref-francis2011weighting"/>
    <w:p>
      <w:pPr>
        <w:pStyle w:val="Bibliography"/>
      </w:pPr>
      <w:r>
        <w:t xml:space="preserve">Francis, R. I. C. C. (2011). Data weighting in statistical fisheries stock assessment models.</w:t>
      </w:r>
      <w:r>
        <w:t xml:space="preserve"> </w:t>
      </w:r>
      <w:r>
        <w:rPr>
          <w:i/>
          <w:iCs/>
        </w:rPr>
        <w:t xml:space="preserve">Canadian Journal of Fisheries and Aquatic Sciences</w:t>
      </w:r>
      <w:r>
        <w:t xml:space="preserve">,</w:t>
      </w:r>
      <w:r>
        <w:t xml:space="preserve"> </w:t>
      </w:r>
      <w:r>
        <w:rPr>
          <w:i/>
          <w:iCs/>
        </w:rPr>
        <w:t xml:space="preserve">68</w:t>
      </w:r>
      <w:r>
        <w:t xml:space="preserve">(7), 1124–1138.</w:t>
      </w:r>
      <w:r>
        <w:t xml:space="preserve"> </w:t>
      </w:r>
      <w:hyperlink r:id="rId178">
        <w:r>
          <w:rPr>
            <w:rStyle w:val="Hyperlink"/>
          </w:rPr>
          <w:t xml:space="preserve">https://doi.org/10.1139/f2011-025</w:t>
        </w:r>
      </w:hyperlink>
    </w:p>
    <w:bookmarkEnd w:id="179"/>
    <w:bookmarkStart w:id="180" w:name="ref-gutierrez2011coastal"/>
    <w:p>
      <w:pPr>
        <w:pStyle w:val="Bibliography"/>
      </w:pPr>
      <w:r>
        <w:t xml:space="preserve">Gutiérrez, D., Bouloubassi, I., Sifeddine, A., Purca, S., Goubanova, K., Graco, M., Field, D., Méjanelle, L., Velazco, F., Lorre, A., Salvatteci, R., Quispe, D., Vargas, G., Dewitte, B., &amp; Ortlieb, L. (2011). Coastal cooling and increased productivity in the main upwelling zone off</w:t>
      </w:r>
      <w:r>
        <w:t xml:space="preserve"> </w:t>
      </w:r>
      <w:r>
        <w:t xml:space="preserve">Peru</w:t>
      </w:r>
      <w:r>
        <w:t xml:space="preserve"> </w:t>
      </w:r>
      <w:r>
        <w:t xml:space="preserve">since the mid-twentieth century.</w:t>
      </w:r>
      <w:r>
        <w:t xml:space="preserve"> </w:t>
      </w:r>
      <w:r>
        <w:rPr>
          <w:i/>
          <w:iCs/>
        </w:rPr>
        <w:t xml:space="preserve">Geophysical Research Letters</w:t>
      </w:r>
      <w:r>
        <w:t xml:space="preserve">,</w:t>
      </w:r>
      <w:r>
        <w:t xml:space="preserve"> </w:t>
      </w:r>
      <w:r>
        <w:rPr>
          <w:i/>
          <w:iCs/>
        </w:rPr>
        <w:t xml:space="preserve">38</w:t>
      </w:r>
      <w:r>
        <w:t xml:space="preserve">(7).</w:t>
      </w:r>
    </w:p>
    <w:bookmarkEnd w:id="180"/>
    <w:bookmarkStart w:id="182" w:name="ref-hilborn1992quantitative"/>
    <w:p>
      <w:pPr>
        <w:pStyle w:val="Bibliography"/>
      </w:pPr>
      <w:r>
        <w:t xml:space="preserve">Hilborn, R., &amp; Walters, C. J. (1992).</w:t>
      </w:r>
      <w:r>
        <w:t xml:space="preserve"> </w:t>
      </w:r>
      <w:r>
        <w:rPr>
          <w:i/>
          <w:iCs/>
        </w:rPr>
        <w:t xml:space="preserve">Quantitative fisheries stock assessment: Choice, dynamics and uncertainty</w:t>
      </w:r>
      <w:r>
        <w:t xml:space="preserve">. Springer.</w:t>
      </w:r>
      <w:r>
        <w:t xml:space="preserve"> </w:t>
      </w:r>
      <w:hyperlink r:id="rId181">
        <w:r>
          <w:rPr>
            <w:rStyle w:val="Hyperlink"/>
          </w:rPr>
          <w:t xml:space="preserve">https://doi.org/10.1007/978-1-4615-3598-0</w:t>
        </w:r>
      </w:hyperlink>
    </w:p>
    <w:bookmarkEnd w:id="182"/>
    <w:bookmarkStart w:id="184" w:name="ref-linton2011selectivity"/>
    <w:p>
      <w:pPr>
        <w:pStyle w:val="Bibliography"/>
      </w:pPr>
      <w:r>
        <w:t xml:space="preserve">Linton, B. C., &amp; Bence, J. R. (2011). Catch-at-age assessment in the face of time-varying selectivity.</w:t>
      </w:r>
      <w:r>
        <w:t xml:space="preserve"> </w:t>
      </w:r>
      <w:r>
        <w:rPr>
          <w:i/>
          <w:iCs/>
        </w:rPr>
        <w:t xml:space="preserve">ICES Journal of Marine Science</w:t>
      </w:r>
      <w:r>
        <w:t xml:space="preserve">,</w:t>
      </w:r>
      <w:r>
        <w:t xml:space="preserve"> </w:t>
      </w:r>
      <w:r>
        <w:rPr>
          <w:i/>
          <w:iCs/>
        </w:rPr>
        <w:t xml:space="preserve">68</w:t>
      </w:r>
      <w:r>
        <w:t xml:space="preserve">(3), 611–625.</w:t>
      </w:r>
      <w:r>
        <w:t xml:space="preserve"> </w:t>
      </w:r>
      <w:hyperlink r:id="rId183">
        <w:r>
          <w:rPr>
            <w:rStyle w:val="Hyperlink"/>
          </w:rPr>
          <w:t xml:space="preserve">https://doi.org/10.1093/icesjms/fsq173</w:t>
        </w:r>
      </w:hyperlink>
    </w:p>
    <w:bookmarkEnd w:id="184"/>
    <w:bookmarkStart w:id="185" w:name="ref-moron2017analisis"/>
    <w:p>
      <w:pPr>
        <w:pStyle w:val="Bibliography"/>
      </w:pPr>
      <w:r>
        <w:t xml:space="preserve">Moron Correa, G. C. (2017).</w:t>
      </w:r>
      <w:r>
        <w:t xml:space="preserve"> </w:t>
      </w:r>
      <w:r>
        <w:rPr>
          <w:i/>
          <w:iCs/>
        </w:rPr>
        <w:t xml:space="preserve">Análisis espacio temporal de la biodiversidad en el ambiente epipelágico del mar peruano</w:t>
      </w:r>
      <w:r>
        <w:t xml:space="preserve"> </w:t>
      </w:r>
      <w:r>
        <w:t xml:space="preserve">[PhD thesis]. Universidad Nacional Mayor de San Marcos.</w:t>
      </w:r>
    </w:p>
    <w:bookmarkEnd w:id="185"/>
    <w:bookmarkStart w:id="187" w:name="ref-punt2016bestpractices"/>
    <w:p>
      <w:pPr>
        <w:pStyle w:val="Bibliography"/>
      </w:pPr>
      <w:r>
        <w:t xml:space="preserve">Punt, A. E., Butterworth, D. S., Moor, C. L. de, Oliveira, J. A. A. de, &amp; Haddon, M. (2016). Management strategy evaluation: Best practices.</w:t>
      </w:r>
      <w:r>
        <w:t xml:space="preserve"> </w:t>
      </w:r>
      <w:r>
        <w:rPr>
          <w:i/>
          <w:iCs/>
        </w:rPr>
        <w:t xml:space="preserve">Fish and Fisheries</w:t>
      </w:r>
      <w:r>
        <w:t xml:space="preserve">,</w:t>
      </w:r>
      <w:r>
        <w:t xml:space="preserve"> </w:t>
      </w:r>
      <w:r>
        <w:rPr>
          <w:i/>
          <w:iCs/>
        </w:rPr>
        <w:t xml:space="preserve">17</w:t>
      </w:r>
      <w:r>
        <w:t xml:space="preserve">(2), 303–334.</w:t>
      </w:r>
      <w:r>
        <w:t xml:space="preserve"> </w:t>
      </w:r>
      <w:hyperlink r:id="rId186">
        <w:r>
          <w:rPr>
            <w:rStyle w:val="Hyperlink"/>
          </w:rPr>
          <w:t xml:space="preserve">https://doi.org/10.1111/faf.12104</w:t>
        </w:r>
      </w:hyperlink>
    </w:p>
    <w:bookmarkEnd w:id="187"/>
    <w:bookmarkStart w:id="189" w:name="ref-rousseau2019fleets"/>
    <w:p>
      <w:pPr>
        <w:pStyle w:val="Bibliography"/>
      </w:pPr>
      <w:r>
        <w:t xml:space="preserve">Rousseau, Y., Watson, R. A., Blanchard, J. L., &amp; Fulton, E. A. (2019). Evolution of global marine fishing fleets and the response of fished resources.</w:t>
      </w:r>
      <w:r>
        <w:t xml:space="preserve"> </w:t>
      </w:r>
      <w:r>
        <w:rPr>
          <w:i/>
          <w:iCs/>
        </w:rPr>
        <w:t xml:space="preserve">Proceedings of the National Academy of Sciences of the United States of America</w:t>
      </w:r>
      <w:r>
        <w:t xml:space="preserve">,</w:t>
      </w:r>
      <w:r>
        <w:t xml:space="preserve"> </w:t>
      </w:r>
      <w:r>
        <w:rPr>
          <w:i/>
          <w:iCs/>
        </w:rPr>
        <w:t xml:space="preserve">116</w:t>
      </w:r>
      <w:r>
        <w:t xml:space="preserve">(25), 12238–12243.</w:t>
      </w:r>
      <w:r>
        <w:t xml:space="preserve"> </w:t>
      </w:r>
      <w:hyperlink r:id="rId188">
        <w:r>
          <w:rPr>
            <w:rStyle w:val="Hyperlink"/>
          </w:rPr>
          <w:t xml:space="preserve">https://doi.org/10.1073/pnas.1820344116</w:t>
        </w:r>
      </w:hyperlink>
    </w:p>
    <w:bookmarkEnd w:id="189"/>
    <w:bookmarkStart w:id="191" w:name="ref-schnute1995error"/>
    <w:p>
      <w:pPr>
        <w:pStyle w:val="Bibliography"/>
      </w:pPr>
      <w:r>
        <w:t xml:space="preserve">Schnute, J. T., &amp; Richards, L. J. (1995). The influence of error on population estimates from catch-age models.</w:t>
      </w:r>
      <w:r>
        <w:t xml:space="preserve"> </w:t>
      </w:r>
      <w:r>
        <w:rPr>
          <w:i/>
          <w:iCs/>
        </w:rPr>
        <w:t xml:space="preserve">Canadian Journal of Fisheries and Aquatic Sciences</w:t>
      </w:r>
      <w:r>
        <w:t xml:space="preserve">,</w:t>
      </w:r>
      <w:r>
        <w:t xml:space="preserve"> </w:t>
      </w:r>
      <w:r>
        <w:rPr>
          <w:i/>
          <w:iCs/>
        </w:rPr>
        <w:t xml:space="preserve">52</w:t>
      </w:r>
      <w:r>
        <w:t xml:space="preserve">(10), 2063–2077.</w:t>
      </w:r>
      <w:r>
        <w:t xml:space="preserve"> </w:t>
      </w:r>
      <w:hyperlink r:id="rId190">
        <w:r>
          <w:rPr>
            <w:rStyle w:val="Hyperlink"/>
          </w:rPr>
          <w:t xml:space="preserve">https://doi.org/10.1139/f95-800</w:t>
        </w:r>
      </w:hyperlink>
    </w:p>
    <w:bookmarkEnd w:id="191"/>
    <w:bookmarkStart w:id="193" w:name="ref-siple2021smallpelagics"/>
    <w:p>
      <w:pPr>
        <w:pStyle w:val="Bibliography"/>
      </w:pPr>
      <w:r>
        <w:t xml:space="preserve">Siple, M. C., Koehn, L. E., Johnson, K. F., Punt, A. E., Canales, T. M., Carpi, P., Moor, C. L. de, Oliveira, J. A. A. de, Gao, J., Jacobsen, N. S., Lam, M. E., Licandeo, R., Lindegren, M., Ma, S., Óskarsson, G. J., Sanchez-Maroño, S., Smoliński, S., Surma, S., Tian, Y., … Zimmermann, F. (2021). Considerations for management strategy evaluation for small pelagic fishes.</w:t>
      </w:r>
      <w:r>
        <w:t xml:space="preserve"> </w:t>
      </w:r>
      <w:r>
        <w:rPr>
          <w:i/>
          <w:iCs/>
        </w:rPr>
        <w:t xml:space="preserve">Fish and Fisheries</w:t>
      </w:r>
      <w:r>
        <w:t xml:space="preserve">,</w:t>
      </w:r>
      <w:r>
        <w:t xml:space="preserve"> </w:t>
      </w:r>
      <w:r>
        <w:rPr>
          <w:i/>
          <w:iCs/>
        </w:rPr>
        <w:t xml:space="preserve">22</w:t>
      </w:r>
      <w:r>
        <w:t xml:space="preserve">(6), 1167–1186.</w:t>
      </w:r>
      <w:r>
        <w:t xml:space="preserve"> </w:t>
      </w:r>
      <w:hyperlink r:id="rId192">
        <w:r>
          <w:rPr>
            <w:rStyle w:val="Hyperlink"/>
          </w:rPr>
          <w:t xml:space="preserve">https://doi.org/10.1111/faf.12579</w:t>
        </w:r>
      </w:hyperlink>
    </w:p>
    <w:bookmarkEnd w:id="193"/>
    <w:bookmarkStart w:id="195" w:name="ref-sprfmo2025mseworkshop"/>
    <w:p>
      <w:pPr>
        <w:pStyle w:val="Bibliography"/>
      </w:pPr>
      <w:r>
        <w:t xml:space="preserve">SPRFMO Jack Mackerel Working Group. (2025).</w:t>
      </w:r>
      <w:r>
        <w:t xml:space="preserve"> </w:t>
      </w:r>
      <w:r>
        <w:rPr>
          <w:i/>
          <w:iCs/>
        </w:rPr>
        <w:t xml:space="preserve">Report of the</w:t>
      </w:r>
      <w:r>
        <w:rPr>
          <w:i/>
          <w:iCs/>
        </w:rPr>
        <w:t xml:space="preserve"> </w:t>
      </w:r>
      <w:r>
        <w:rPr>
          <w:i/>
          <w:iCs/>
        </w:rPr>
        <w:t xml:space="preserve">JMWG</w:t>
      </w:r>
      <w:r>
        <w:rPr>
          <w:i/>
          <w:iCs/>
        </w:rPr>
        <w:t xml:space="preserve"> </w:t>
      </w:r>
      <w:r>
        <w:rPr>
          <w:i/>
          <w:iCs/>
        </w:rPr>
        <w:t xml:space="preserve">management strategy evaluation technical workshop (</w:t>
      </w:r>
      <w:r>
        <w:rPr>
          <w:i/>
          <w:iCs/>
        </w:rPr>
        <w:t xml:space="preserve">SCW15</w:t>
      </w:r>
      <w:r>
        <w:rPr>
          <w:i/>
          <w:iCs/>
        </w:rPr>
        <w:t xml:space="preserve">)</w:t>
      </w:r>
      <w:r>
        <w:t xml:space="preserve"> </w:t>
      </w:r>
      <w:r>
        <w:t xml:space="preserve">(Nos. SC13-JM09). South Pacific Regional Fisheries Management Organisation (SPRFMO).</w:t>
      </w:r>
      <w:r>
        <w:t xml:space="preserve"> </w:t>
      </w:r>
      <w:hyperlink r:id="rId194">
        <w:r>
          <w:rPr>
            <w:rStyle w:val="Hyperlink"/>
          </w:rPr>
          <w:t xml:space="preserve">https://www.sprfmo.int/assets/Meetings/02-SC/13th-SC-2025/Jack-Mackerel/SC13-JM09-Report-of-the-JMWG-Management-Strategy-Evaluation-Technical-Workshop.pdf</w:t>
        </w:r>
      </w:hyperlink>
    </w:p>
    <w:bookmarkEnd w:id="195"/>
    <w:bookmarkStart w:id="197" w:name="ref-sprfmo2025annex11"/>
    <w:p>
      <w:pPr>
        <w:pStyle w:val="Bibliography"/>
      </w:pPr>
      <w:r>
        <w:t xml:space="preserve">SPRFMO Scientific Committee. (2025).</w:t>
      </w:r>
      <w:r>
        <w:t xml:space="preserve"> </w:t>
      </w:r>
      <w:r>
        <w:rPr>
          <w:i/>
          <w:iCs/>
        </w:rPr>
        <w:t xml:space="preserve">Annex 11: Jack mackerel technical annex</w:t>
      </w:r>
      <w:r>
        <w:t xml:space="preserve">. South Pacific Regional Fisheries Management Organisation (SPRFMO).</w:t>
      </w:r>
      <w:r>
        <w:t xml:space="preserve"> </w:t>
      </w:r>
      <w:hyperlink r:id="rId196">
        <w:r>
          <w:rPr>
            <w:rStyle w:val="Hyperlink"/>
          </w:rPr>
          <w:t xml:space="preserve">https://sprfmo.int/assets/Meetings/02-SC/13th-SC-2025/SC13-Report-Annex-11_final.pdf</w:t>
        </w:r>
      </w:hyperlink>
    </w:p>
    <w:bookmarkEnd w:id="197"/>
    <w:bookmarkEnd w:id="198"/>
    <w:bookmarkEnd w:id="199"/>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36" Target="media/rId36.png" /><Relationship Type="http://schemas.openxmlformats.org/officeDocument/2006/relationships/image" Id="rId68" Target="media/rId68.png" /><Relationship Type="http://schemas.openxmlformats.org/officeDocument/2006/relationships/image" Id="rId127" Target="media/rId127.png" /><Relationship Type="http://schemas.openxmlformats.org/officeDocument/2006/relationships/image" Id="rId135" Target="media/rId135.png" /><Relationship Type="http://schemas.openxmlformats.org/officeDocument/2006/relationships/image" Id="rId131" Target="media/rId131.png" /><Relationship Type="http://schemas.openxmlformats.org/officeDocument/2006/relationships/image" Id="rId112" Target="media/rId112.png" /><Relationship Type="http://schemas.openxmlformats.org/officeDocument/2006/relationships/image" Id="rId120" Target="media/rId120.png" /><Relationship Type="http://schemas.openxmlformats.org/officeDocument/2006/relationships/image" Id="rId116" Target="media/rId116.png" /><Relationship Type="http://schemas.openxmlformats.org/officeDocument/2006/relationships/image" Id="rId140" Target="media/rId140.png" /><Relationship Type="http://schemas.openxmlformats.org/officeDocument/2006/relationships/image" Id="rId144" Target="media/rId144.png" /><Relationship Type="http://schemas.openxmlformats.org/officeDocument/2006/relationships/image" Id="rId32" Target="media/rId32.png" /><Relationship Type="http://schemas.openxmlformats.org/officeDocument/2006/relationships/image" Id="rId28" Target="media/rId28.png" /><Relationship Type="http://schemas.openxmlformats.org/officeDocument/2006/relationships/image" Id="rId59" Target="media/rId59.png" /><Relationship Type="http://schemas.openxmlformats.org/officeDocument/2006/relationships/image" Id="rId55" Target="media/rId55.png" /><Relationship Type="http://schemas.openxmlformats.org/officeDocument/2006/relationships/image" Id="rId46" Target="media/rId46.png" /><Relationship Type="http://schemas.openxmlformats.org/officeDocument/2006/relationships/image" Id="rId50" Target="media/rId50.png" /><Relationship Type="http://schemas.openxmlformats.org/officeDocument/2006/relationships/image" Id="rId74" Target="media/rId74.png" /><Relationship Type="http://schemas.openxmlformats.org/officeDocument/2006/relationships/image" Id="rId78" Target="media/rId78.png" /><Relationship Type="http://schemas.openxmlformats.org/officeDocument/2006/relationships/image" Id="rId63" Target="media/rId63.png" /><Relationship Type="http://schemas.openxmlformats.org/officeDocument/2006/relationships/image" Id="rId93" Target="media/rId93.png" /><Relationship Type="http://schemas.openxmlformats.org/officeDocument/2006/relationships/image" Id="rId97" Target="media/rId97.png" /><Relationship Type="http://schemas.openxmlformats.org/officeDocument/2006/relationships/image" Id="rId84" Target="media/rId84.png" /><Relationship Type="http://schemas.openxmlformats.org/officeDocument/2006/relationships/image" Id="rId89" Target="media/rId89.png" /><Relationship Type="http://schemas.openxmlformats.org/officeDocument/2006/relationships/image" Id="rId102" Target="media/rId102.png" /><Relationship Type="http://schemas.openxmlformats.org/officeDocument/2006/relationships/image" Id="rId9" Target="media/rId9.png" /><Relationship Type="http://schemas.openxmlformats.org/officeDocument/2006/relationships/hyperlink" Id="rId168" Target="https://doi.org/10.1006/jmsc.1999.0532" TargetMode="External" /><Relationship Type="http://schemas.openxmlformats.org/officeDocument/2006/relationships/hyperlink" Id="rId181" Target="https://doi.org/10.1007/978-1-4615-3598-0" TargetMode="External" /><Relationship Type="http://schemas.openxmlformats.org/officeDocument/2006/relationships/hyperlink" Id="rId188" Target="https://doi.org/10.1073/pnas.1820344116" TargetMode="External" /><Relationship Type="http://schemas.openxmlformats.org/officeDocument/2006/relationships/hyperlink" Id="rId174" Target="https://doi.org/10.1080/10556788.2011.597854" TargetMode="External" /><Relationship Type="http://schemas.openxmlformats.org/officeDocument/2006/relationships/hyperlink" Id="rId183" Target="https://doi.org/10.1093/icesjms/fsq173" TargetMode="External" /><Relationship Type="http://schemas.openxmlformats.org/officeDocument/2006/relationships/hyperlink" Id="rId186" Target="https://doi.org/10.1111/faf.12104" TargetMode="External" /><Relationship Type="http://schemas.openxmlformats.org/officeDocument/2006/relationships/hyperlink" Id="rId192" Target="https://doi.org/10.1111/faf.12579" TargetMode="External" /><Relationship Type="http://schemas.openxmlformats.org/officeDocument/2006/relationships/hyperlink" Id="rId178" Target="https://doi.org/10.1139/f2011-025" TargetMode="External" /><Relationship Type="http://schemas.openxmlformats.org/officeDocument/2006/relationships/hyperlink" Id="rId176" Target="https://doi.org/10.1139/f82-157" TargetMode="External" /><Relationship Type="http://schemas.openxmlformats.org/officeDocument/2006/relationships/hyperlink" Id="rId190" Target="https://doi.org/10.1139/f95-800" TargetMode="External" /><Relationship Type="http://schemas.openxmlformats.org/officeDocument/2006/relationships/hyperlink" Id="rId12" Target="https://sprfmo.github.io/SCW15_report/" TargetMode="External" /><Relationship Type="http://schemas.openxmlformats.org/officeDocument/2006/relationships/hyperlink" Id="rId196" Target="https://sprfmo.int/assets/Meetings/02-SC/13th-SC-2025/SC13-Report-Annex-11_final.pdf" TargetMode="External" /><Relationship Type="http://schemas.openxmlformats.org/officeDocument/2006/relationships/hyperlink" Id="rId170" Target="https://www.iccat.int/Documents/CVSP/CV081_2024/n_2/CV08102149.pdf" TargetMode="External" /><Relationship Type="http://schemas.openxmlformats.org/officeDocument/2006/relationships/hyperlink" Id="rId194" Target="https://www.sprfmo.int/assets/Meetings/02-SC/13th-SC-2025/Jack-Mackerel/SC13-JM09-Report-of-the-JMWG-Management-Strategy-Evaluation-Technical-Workshop.pdf" TargetMode="External" /></Relationships>
</file>

<file path=word/_rels/footnotes.xml.rels><?xml version="1.0" encoding="UTF-8"?><Relationships xmlns="http://schemas.openxmlformats.org/package/2006/relationships"><Relationship Type="http://schemas.openxmlformats.org/officeDocument/2006/relationships/hyperlink" Id="rId168" Target="https://doi.org/10.1006/jmsc.1999.0532" TargetMode="External" /><Relationship Type="http://schemas.openxmlformats.org/officeDocument/2006/relationships/hyperlink" Id="rId181" Target="https://doi.org/10.1007/978-1-4615-3598-0" TargetMode="External" /><Relationship Type="http://schemas.openxmlformats.org/officeDocument/2006/relationships/hyperlink" Id="rId188" Target="https://doi.org/10.1073/pnas.1820344116" TargetMode="External" /><Relationship Type="http://schemas.openxmlformats.org/officeDocument/2006/relationships/hyperlink" Id="rId174" Target="https://doi.org/10.1080/10556788.2011.597854" TargetMode="External" /><Relationship Type="http://schemas.openxmlformats.org/officeDocument/2006/relationships/hyperlink" Id="rId183" Target="https://doi.org/10.1093/icesjms/fsq173" TargetMode="External" /><Relationship Type="http://schemas.openxmlformats.org/officeDocument/2006/relationships/hyperlink" Id="rId186" Target="https://doi.org/10.1111/faf.12104" TargetMode="External" /><Relationship Type="http://schemas.openxmlformats.org/officeDocument/2006/relationships/hyperlink" Id="rId192" Target="https://doi.org/10.1111/faf.12579" TargetMode="External" /><Relationship Type="http://schemas.openxmlformats.org/officeDocument/2006/relationships/hyperlink" Id="rId178" Target="https://doi.org/10.1139/f2011-025" TargetMode="External" /><Relationship Type="http://schemas.openxmlformats.org/officeDocument/2006/relationships/hyperlink" Id="rId176" Target="https://doi.org/10.1139/f82-157" TargetMode="External" /><Relationship Type="http://schemas.openxmlformats.org/officeDocument/2006/relationships/hyperlink" Id="rId190" Target="https://doi.org/10.1139/f95-800" TargetMode="External" /><Relationship Type="http://schemas.openxmlformats.org/officeDocument/2006/relationships/hyperlink" Id="rId12" Target="https://sprfmo.github.io/SCW15_report/" TargetMode="External" /><Relationship Type="http://schemas.openxmlformats.org/officeDocument/2006/relationships/hyperlink" Id="rId196" Target="https://sprfmo.int/assets/Meetings/02-SC/13th-SC-2025/SC13-Report-Annex-11_final.pdf" TargetMode="External" /><Relationship Type="http://schemas.openxmlformats.org/officeDocument/2006/relationships/hyperlink" Id="rId170" Target="https://www.iccat.int/Documents/CVSP/CV081_2024/n_2/CV08102149.pdf" TargetMode="External" /><Relationship Type="http://schemas.openxmlformats.org/officeDocument/2006/relationships/hyperlink" Id="rId194" Target="https://www.sprfmo.int/assets/Meetings/02-SC/13th-SC-2025/Jack-Mackerel/SC13-JM09-Report-of-the-JMWG-Management-Strategy-Evaluation-Technical-Workshop.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Developments of the base SC13 model for benchmark and MSE considerations</dc:title>
  <dc:creator/>
  <cp:keywords/>
  <dcterms:created xsi:type="dcterms:W3CDTF">2026-04-30T04:25:15Z</dcterms:created>
  <dcterms:modified xsi:type="dcterms:W3CDTF">2026-04-30T04:25:15Z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sc13_base_model_mse_refs.bib</vt:lpwstr>
  </property>
  <property fmtid="{D5CDD505-2E9C-101B-9397-08002B2CF9AE}" pid="4" name="csl">
    <vt:lpwstr>annex/apa.csl</vt:lpwstr>
  </property>
  <property fmtid="{D5CDD505-2E9C-101B-9397-08002B2CF9AE}" pid="5" name="engines">
    <vt:lpwstr/>
  </property>
  <property fmtid="{D5CDD505-2E9C-101B-9397-08002B2CF9AE}" pid="6" name="execute">
    <vt:lpwstr/>
  </property>
  <property fmtid="{D5CDD505-2E9C-101B-9397-08002B2CF9AE}" pid="7" name="header-includes">
    <vt:lpwstr/>
  </property>
  <property fmtid="{D5CDD505-2E9C-101B-9397-08002B2CF9AE}" pid="8" name="include-after">
    <vt:lpwstr/>
  </property>
  <property fmtid="{D5CDD505-2E9C-101B-9397-08002B2CF9AE}" pid="9" name="include-before">
    <vt:lpwstr/>
  </property>
  <property fmtid="{D5CDD505-2E9C-101B-9397-08002B2CF9AE}" pid="10" name="labels">
    <vt:lpwstr/>
  </property>
  <property fmtid="{D5CDD505-2E9C-101B-9397-08002B2CF9AE}" pid="11" name="number-depth">
    <vt:lpwstr>2</vt:lpwstr>
  </property>
  <property fmtid="{D5CDD505-2E9C-101B-9397-08002B2CF9AE}" pid="12" name="title-block">
    <vt:lpwstr>False</vt:lpwstr>
  </property>
  <property fmtid="{D5CDD505-2E9C-101B-9397-08002B2CF9AE}" pid="13" name="toc-title">
    <vt:lpwstr>Table of contents</vt:lpwstr>
  </property>
</Properties>
</file>