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CPUE coordination priorities and working-paper plan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0"/>
        <w:gridCol w:w="352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drawing>
                <wp:inline>
                  <wp:extent cx="1234440" cy="1223705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annex/logo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2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SPRFMO</w:t>
            </w:r>
            <w:r>
              <w:t xml:space="preserve">South Pacific Regional Fisheries Management Organisation</w:t>
            </w:r>
            <w:r>
              <w:rPr>
                <w:b/>
                <w:bCs/>
              </w:rPr>
              <w:t xml:space="preserve">Jack Mackerel Working Group</w:t>
            </w:r>
          </w:p>
        </w:tc>
      </w:tr>
    </w:tbl>
    <w:p>
      <w:pPr>
        <w:pStyle w:val="BodyText"/>
      </w:pPr>
      <w:r>
        <w:rPr>
          <w:i/>
          <w:iCs/>
        </w:rPr>
        <w:t xml:space="preserve">SCW16-Doc02</w:t>
      </w:r>
    </w:p>
    <w:p>
      <w:pPr>
        <w:pStyle w:val="BodyText"/>
      </w:pPr>
      <w:r>
        <w:t xml:space="preserve">14 May 2026</w:t>
      </w:r>
    </w:p>
    <w:bookmarkStart w:id="12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This paper records the outcomes of the</w:t>
      </w:r>
      <w:r>
        <w:t xml:space="preserve"> </w:t>
      </w:r>
      <w:r>
        <w:rPr>
          <w:b/>
          <w:bCs/>
        </w:rPr>
        <w:t xml:space="preserve">CPUE indices coordination meeting held on 14 April 2026</w:t>
      </w:r>
      <w:r>
        <w:t xml:space="preserve">.</w:t>
      </w:r>
      <w:r>
        <w:t xml:space="preserve"> </w:t>
      </w:r>
      <w:r>
        <w:t xml:space="preserve">Its purpose is to define the scope of the Day 2 CPUE benchmark session, identify the main</w:t>
      </w:r>
      <w:r>
        <w:t xml:space="preserve"> </w:t>
      </w:r>
      <w:r>
        <w:t xml:space="preserve">technical questions that need to be resolved at SCW16, and list the supporting working papers</w:t>
      </w:r>
      <w:r>
        <w:t xml:space="preserve"> </w:t>
      </w:r>
      <w:r>
        <w:t xml:space="preserve">that members proposed to prepare before the workshop.</w:t>
      </w:r>
    </w:p>
    <w:p>
      <w:pPr>
        <w:pStyle w:val="BodyText"/>
      </w:pPr>
      <w:r>
        <w:t xml:space="preserve">The main conclusion is that this material should remain separate from</w:t>
      </w:r>
      <w:r>
        <w:t xml:space="preserve"> </w:t>
      </w:r>
      <w:r>
        <w:rPr>
          <w:rStyle w:val="VerbatimChar"/>
        </w:rPr>
        <w:t xml:space="preserve">SCW16-Doc03-CPUE_MetaAnalysis.qmd</w:t>
      </w:r>
      <w:r>
        <w:t xml:space="preserve">. Doc03 is a backward-looking synthesis of CPUE</w:t>
      </w:r>
      <w:r>
        <w:t xml:space="preserve"> </w:t>
      </w:r>
      <w:r>
        <w:t xml:space="preserve">documents submitted from SC10 to SC13, while the present paper is a forward-looking coordination</w:t>
      </w:r>
      <w:r>
        <w:t xml:space="preserve"> </w:t>
      </w:r>
      <w:r>
        <w:t xml:space="preserve">note for SCW16. The two papers are complementary: Doc03 provides background and Doc02</w:t>
      </w:r>
      <w:r>
        <w:t xml:space="preserve"> </w:t>
      </w:r>
      <w:r>
        <w:t xml:space="preserve">defines the work plan and decision points for the benchmark session.</w:t>
      </w:r>
    </w:p>
    <w:p>
      <w:pPr>
        <w:pStyle w:val="BodyText"/>
      </w:pPr>
      <w:r>
        <w:t xml:space="preserve">After the coordination meeting, Ana Alegre notified the organizers that work-related delays had</w:t>
      </w:r>
      <w:r>
        <w:t xml:space="preserve"> </w:t>
      </w:r>
      <w:r>
        <w:t xml:space="preserve">affected delivery of several Peruvian delegation reports. She requested that the report</w:t>
      </w:r>
      <w:r>
        <w:t xml:space="preserve"> </w:t>
      </w:r>
      <w:r>
        <w:rPr>
          <w:i/>
          <w:iCs/>
        </w:rPr>
        <w:t xml:space="preserve">Standardization of catch-per-unit-effort (CPUE) for jack mackerel (2015-2025) in Peruvian</w:t>
      </w:r>
      <w:r>
        <w:rPr>
          <w:i/>
          <w:iCs/>
        </w:rPr>
        <w:t xml:space="preserve"> </w:t>
      </w:r>
      <w:r>
        <w:rPr>
          <w:i/>
          <w:iCs/>
        </w:rPr>
        <w:t xml:space="preserve">national jurisdictional waters</w:t>
      </w:r>
      <w:r>
        <w:t xml:space="preserve"> </w:t>
      </w:r>
      <w:r>
        <w:t xml:space="preserve">(Miran Geronimo and Gersson Roman) be included for presentation</w:t>
      </w:r>
      <w:r>
        <w:t xml:space="preserve"> </w:t>
      </w:r>
      <w:r>
        <w:t xml:space="preserve">and discussion during the Day 2 CPUE session. She also identified related Peruvian reports for</w:t>
      </w:r>
      <w:r>
        <w:t xml:space="preserve"> </w:t>
      </w:r>
      <w:r>
        <w:t xml:space="preserve">the benchmark workshop, including one length-frequency report requested for the Day 3 biological</w:t>
      </w:r>
      <w:r>
        <w:t xml:space="preserve"> </w:t>
      </w:r>
      <w:r>
        <w:t xml:space="preserve">inputs session and two additional reports on length-weight relationships and acoustic-index use.</w:t>
      </w:r>
    </w:p>
    <w:bookmarkEnd w:id="12"/>
    <w:bookmarkStart w:id="13" w:name="meeting-details"/>
    <w:p>
      <w:pPr>
        <w:pStyle w:val="Heading1"/>
      </w:pPr>
      <w:r>
        <w:t xml:space="preserve">Meeting Details</w:t>
      </w:r>
    </w:p>
    <w:p>
      <w:pPr>
        <w:pStyle w:val="Compact"/>
        <w:numPr>
          <w:ilvl w:val="0"/>
          <w:numId w:val="1001"/>
        </w:numPr>
      </w:pPr>
      <w:r>
        <w:t xml:space="preserve">Date: 14 April 2026</w:t>
      </w:r>
    </w:p>
    <w:p>
      <w:pPr>
        <w:pStyle w:val="Compact"/>
        <w:numPr>
          <w:ilvl w:val="0"/>
          <w:numId w:val="1001"/>
        </w:numPr>
      </w:pPr>
      <w:r>
        <w:t xml:space="preserve">Meeting: CPUE indices coordination meeting</w:t>
      </w:r>
    </w:p>
    <w:p>
      <w:pPr>
        <w:pStyle w:val="Compact"/>
        <w:numPr>
          <w:ilvl w:val="0"/>
          <w:numId w:val="1001"/>
        </w:numPr>
      </w:pPr>
      <w:r>
        <w:t xml:space="preserve">Main aim: coordinate the preliminary CPUE agenda and supporting papers for SCW16</w:t>
      </w:r>
    </w:p>
    <w:p>
      <w:pPr>
        <w:pStyle w:val="Compact"/>
        <w:numPr>
          <w:ilvl w:val="0"/>
          <w:numId w:val="1001"/>
        </w:numPr>
      </w:pPr>
      <w:r>
        <w:t xml:space="preserve">Participants: Criscely Lujan, Miriam Geronimo, Erich Diaz, Ignacio Payá, José Zenteno, Sebastián Vásquez, and Niels Hintzen</w:t>
      </w:r>
    </w:p>
    <w:bookmarkEnd w:id="13"/>
    <w:bookmarkStart w:id="14" w:name="benchmark-rationale"/>
    <w:p>
      <w:pPr>
        <w:pStyle w:val="Heading1"/>
      </w:pPr>
      <w:r>
        <w:t xml:space="preserve">Benchmark Rationale</w:t>
      </w:r>
    </w:p>
    <w:p>
      <w:pPr>
        <w:pStyle w:val="FirstParagraph"/>
      </w:pPr>
      <w:r>
        <w:t xml:space="preserve">The SC13 assessment model uses seven abundance indices spanning four fishery CPUE series and at</w:t>
      </w:r>
      <w:r>
        <w:t xml:space="preserve"> </w:t>
      </w:r>
      <w:r>
        <w:t xml:space="preserve">least three survey series. Conditioning the operating model and tuning candidate management</w:t>
      </w:r>
      <w:r>
        <w:t xml:space="preserve"> </w:t>
      </w:r>
      <w:r>
        <w:t xml:space="preserve">procedures depends critically on how these indices are standardized, interpreted, and selected.</w:t>
      </w:r>
    </w:p>
    <w:p>
      <w:pPr>
        <w:pStyle w:val="BodyText"/>
      </w:pPr>
      <w:r>
        <w:t xml:space="preserve">The group therefore agreed that the benchmark CPUE session should not be limited to routine</w:t>
      </w:r>
      <w:r>
        <w:t xml:space="preserve"> </w:t>
      </w:r>
      <w:r>
        <w:t xml:space="preserve">annual updates. It should instead examine whether the available fishery and survey indices are</w:t>
      </w:r>
      <w:r>
        <w:t xml:space="preserve"> </w:t>
      </w:r>
      <w:r>
        <w:t xml:space="preserve">internally coherent, whether some recent index behavior is driven more by availability than by</w:t>
      </w:r>
      <w:r>
        <w:t xml:space="preserve"> </w:t>
      </w:r>
      <w:r>
        <w:t xml:space="preserve">abundance, and whether different index products should be treated differently in the assessment,</w:t>
      </w:r>
      <w:r>
        <w:t xml:space="preserve"> </w:t>
      </w:r>
      <w:r>
        <w:t xml:space="preserve">the operating model, and the candidate management procedures.</w:t>
      </w:r>
    </w:p>
    <w:bookmarkEnd w:id="14"/>
    <w:bookmarkStart w:id="15" w:name="proposed-scope-for-the-cpue-session"/>
    <w:p>
      <w:pPr>
        <w:pStyle w:val="Heading1"/>
      </w:pPr>
      <w:r>
        <w:t xml:space="preserve">Proposed Scope for the CPUE Session</w:t>
      </w:r>
    </w:p>
    <w:p>
      <w:pPr>
        <w:pStyle w:val="FirstParagraph"/>
      </w:pPr>
      <w:r>
        <w:t xml:space="preserve">The coordination group proposed the following scope for the SCW16 CPUE session:</w:t>
      </w:r>
    </w:p>
    <w:p>
      <w:pPr>
        <w:pStyle w:val="Compact"/>
        <w:numPr>
          <w:ilvl w:val="0"/>
          <w:numId w:val="1002"/>
        </w:numPr>
      </w:pPr>
      <w:r>
        <w:t xml:space="preserve">inventory all SC13 abundance indices, including fishery and survey series;</w:t>
      </w:r>
    </w:p>
    <w:p>
      <w:pPr>
        <w:pStyle w:val="Compact"/>
        <w:numPr>
          <w:ilvl w:val="0"/>
          <w:numId w:val="1002"/>
        </w:numPr>
      </w:pPr>
      <w:r>
        <w:t xml:space="preserve">review acoustic survey indices from Chile, Peru, and international coordinated surveys where relevant to CPUE interpretation;</w:t>
      </w:r>
    </w:p>
    <w:p>
      <w:pPr>
        <w:pStyle w:val="Compact"/>
        <w:numPr>
          <w:ilvl w:val="0"/>
          <w:numId w:val="1002"/>
        </w:numPr>
      </w:pPr>
      <w:r>
        <w:t xml:space="preserve">compare CPUE standardization approaches across fleets, including fleet definitions, GLM or GLMM formulations, spatio-temporal structures, and effort-creep assumptions;</w:t>
      </w:r>
    </w:p>
    <w:p>
      <w:pPr>
        <w:pStyle w:val="Compact"/>
        <w:numPr>
          <w:ilvl w:val="0"/>
          <w:numId w:val="1002"/>
        </w:numPr>
      </w:pPr>
      <w:r>
        <w:t xml:space="preserve">examine the relationship between abundance indices and biomass, including proportionality assumptions and possible non-linear behavior;</w:t>
      </w:r>
    </w:p>
    <w:p>
      <w:pPr>
        <w:pStyle w:val="Compact"/>
        <w:numPr>
          <w:ilvl w:val="0"/>
          <w:numId w:val="1002"/>
        </w:numPr>
      </w:pPr>
      <w:r>
        <w:t xml:space="preserve">document spatial coverage gaps and temporal discontinuities across fleets and countries;</w:t>
      </w:r>
    </w:p>
    <w:p>
      <w:pPr>
        <w:pStyle w:val="Compact"/>
        <w:numPr>
          <w:ilvl w:val="0"/>
          <w:numId w:val="1002"/>
        </w:numPr>
      </w:pPr>
      <w:r>
        <w:t xml:space="preserve">review the role of environmental drivers, particularly ENSO-related effects on availability and catchability; and</w:t>
      </w:r>
    </w:p>
    <w:p>
      <w:pPr>
        <w:pStyle w:val="Compact"/>
        <w:numPr>
          <w:ilvl w:val="0"/>
          <w:numId w:val="1002"/>
        </w:numPr>
      </w:pPr>
      <w:r>
        <w:t xml:space="preserve">recommend which indices are most suitable for operating-model conditioning and which, if any, should be treated as management-procedure input series.</w:t>
      </w:r>
    </w:p>
    <w:bookmarkEnd w:id="15"/>
    <w:bookmarkStart w:id="16" w:name="proposed-day-2-session-structure"/>
    <w:p>
      <w:pPr>
        <w:pStyle w:val="Heading1"/>
      </w:pPr>
      <w:r>
        <w:t xml:space="preserve">Proposed Day 2 Session Structure</w:t>
      </w:r>
    </w:p>
    <w:p>
      <w:pPr>
        <w:pStyle w:val="FirstParagraph"/>
      </w:pPr>
      <w:r>
        <w:t xml:space="preserve">The agreed thematic sequence for the CPUE session is summarized below. This structure is also</w:t>
      </w:r>
      <w:r>
        <w:t xml:space="preserve"> </w:t>
      </w:r>
      <w:r>
        <w:t xml:space="preserve">reflected in</w:t>
      </w:r>
      <w:r>
        <w:t xml:space="preserve"> </w:t>
      </w:r>
      <w:r>
        <w:rPr>
          <w:rStyle w:val="VerbatimChar"/>
        </w:rPr>
        <w:t xml:space="preserve">SCW16-Doc00.qmd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Main 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Metadata by fleet and country</w:t>
            </w:r>
          </w:p>
        </w:tc>
        <w:tc>
          <w:tcPr/>
          <w:p>
            <w:pPr>
              <w:pStyle w:val="Compact"/>
            </w:pPr>
            <w:r>
              <w:t xml:space="preserve">Establish a common description of fleets, areas, observation level, and index construction.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Methods by fleet and country</w:t>
            </w:r>
          </w:p>
        </w:tc>
        <w:tc>
          <w:tcPr/>
          <w:p>
            <w:pPr>
              <w:pStyle w:val="Compact"/>
            </w:pPr>
            <w:r>
              <w:t xml:space="preserve">Compare GLM, spatio-temporal, and other standardization methods now in use.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Peruvian CPUE report</w:t>
            </w:r>
          </w:p>
        </w:tc>
        <w:tc>
          <w:tcPr/>
          <w:p>
            <w:pPr>
              <w:pStyle w:val="Compact"/>
            </w:pPr>
            <w:r>
              <w:t xml:space="preserve">Present and discuss</w:t>
            </w:r>
            <w:r>
              <w:t xml:space="preserve"> </w:t>
            </w:r>
            <w:r>
              <w:rPr>
                <w:i/>
                <w:iCs/>
              </w:rPr>
              <w:t xml:space="preserve">Standardization of catch-per-unit-effort (CPUE) for jack mackerel (2015-2025) in Peruvian national jurisdictional waters</w:t>
            </w:r>
            <w:r>
              <w:t xml:space="preserve"> </w:t>
            </w:r>
            <w:r>
              <w:t xml:space="preserve">(Miran Geronimo and Gersson Roman).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Comparative analysis and parsimony</w:t>
            </w:r>
          </w:p>
        </w:tc>
        <w:tc>
          <w:tcPr/>
          <w:p>
            <w:pPr>
              <w:pStyle w:val="Compact"/>
            </w:pPr>
            <w:r>
              <w:t xml:space="preserve">Decide how much model complexity is justified for benchmark index candidates.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Effort-creep review</w:t>
            </w:r>
          </w:p>
        </w:tc>
        <w:tc>
          <w:tcPr/>
          <w:p>
            <w:pPr>
              <w:pStyle w:val="Compact"/>
            </w:pPr>
            <w:r>
              <w:t xml:space="preserve">Reassess current effort-creep assumptions and whether they should be retained or revised.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Catchability and availability blocks</w:t>
            </w:r>
          </w:p>
        </w:tc>
        <w:tc>
          <w:tcPr/>
          <w:p>
            <w:pPr>
              <w:pStyle w:val="Compact"/>
            </w:pPr>
            <w:r>
              <w:t xml:space="preserve">Consider explicit</w:t>
            </w:r>
            <w:r>
              <w:t xml:space="preserve"> </w:t>
            </w:r>
            <w:r>
              <w:rPr>
                <w:rStyle w:val="VerbatimChar"/>
              </w:rPr>
              <w:t xml:space="preserve">q</w:t>
            </w:r>
            <w:r>
              <w:t xml:space="preserve"> </w:t>
            </w:r>
            <w:r>
              <w:t xml:space="preserve">blocks or related structures where distribution shifts make constant catchability implausible.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CPUE weighting in the stock assessment</w:t>
            </w:r>
          </w:p>
        </w:tc>
        <w:tc>
          <w:tcPr/>
          <w:p>
            <w:pPr>
              <w:pStyle w:val="Compact"/>
            </w:pPr>
            <w:r>
              <w:t xml:space="preserve">Review how alternative weighting choices affect model fit and interpretation.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Separate versus combined indices for HCR use</w:t>
            </w:r>
          </w:p>
        </w:tc>
        <w:tc>
          <w:tcPr/>
          <w:p>
            <w:pPr>
              <w:pStyle w:val="Compact"/>
            </w:pPr>
            <w:r>
              <w:t xml:space="preserve">Decide whether the benchmark should maintain separate series or define a combined product for OM and MP work.</w:t>
            </w:r>
          </w:p>
        </w:tc>
      </w:tr>
    </w:tbl>
    <w:bookmarkEnd w:id="16"/>
    <w:bookmarkStart w:id="17" w:name="Xf401d2db3336c20e0fbf6f72668f66b007bbfca"/>
    <w:p>
      <w:pPr>
        <w:pStyle w:val="Heading1"/>
      </w:pPr>
      <w:r>
        <w:t xml:space="preserve">Supporting Working Papers Proposed at the Meeting</w:t>
      </w:r>
    </w:p>
    <w:p>
      <w:pPr>
        <w:pStyle w:val="FirstParagraph"/>
      </w:pPr>
      <w:r>
        <w:t xml:space="preserve">The meeting identified the following candidate papers or updates for preparation before the</w:t>
      </w:r>
      <w:r>
        <w:t xml:space="preserve"> </w:t>
      </w:r>
      <w:r>
        <w:t xml:space="preserve">benchmark. The deadline discussed in the coordination note was</w:t>
      </w:r>
      <w:r>
        <w:t xml:space="preserve"> </w:t>
      </w:r>
      <w:r>
        <w:rPr>
          <w:b/>
          <w:bCs/>
        </w:rPr>
        <w:t xml:space="preserve">1 May 2026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Proposed paper or update</w:t>
            </w:r>
          </w:p>
        </w:tc>
        <w:tc>
          <w:tcPr/>
          <w:p>
            <w:pPr>
              <w:pStyle w:val="Compact"/>
            </w:pPr>
            <w:r>
              <w:t xml:space="preserve">Lead / contributors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Indices of abundance for jack mackerel: review and standardisation</w:t>
            </w:r>
          </w:p>
        </w:tc>
        <w:tc>
          <w:tcPr/>
          <w:p>
            <w:pPr>
              <w:pStyle w:val="Compact"/>
            </w:pPr>
            <w:r>
              <w:t xml:space="preserve">Coordinated by Ignacio Payá</w:t>
            </w:r>
          </w:p>
        </w:tc>
        <w:tc>
          <w:tcPr/>
          <w:p>
            <w:pPr>
              <w:pStyle w:val="Compact"/>
            </w:pPr>
            <w:r>
              <w:t xml:space="preserve">Core synthesis paper for the CPUE session; should complement rather than replace Doc03.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Update of the</w:t>
            </w:r>
            <w:r>
              <w:t xml:space="preserve"> </w:t>
            </w:r>
            <w:r>
              <w:rPr>
                <w:rStyle w:val="VerbatimChar"/>
              </w:rPr>
              <w:t xml:space="preserve">sdmTMB</w:t>
            </w:r>
            <w:r>
              <w:t xml:space="preserve"> </w:t>
            </w:r>
            <w:r>
              <w:t xml:space="preserve">spatio-temporal CPUE index and related GLMM work</w:t>
            </w:r>
          </w:p>
        </w:tc>
        <w:tc>
          <w:tcPr/>
          <w:p>
            <w:pPr>
              <w:pStyle w:val="Compact"/>
            </w:pPr>
            <w:r>
              <w:t xml:space="preserve">Ignacio Payá</w:t>
            </w:r>
          </w:p>
        </w:tc>
        <w:tc>
          <w:tcPr/>
          <w:p>
            <w:pPr>
              <w:pStyle w:val="Compact"/>
            </w:pPr>
            <w:r>
              <w:t xml:space="preserve">Intended to update the Chilean spatial or spatio-temporal CPUE product.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Update of the INLA spatio-temporal CPUE model</w:t>
            </w:r>
          </w:p>
        </w:tc>
        <w:tc>
          <w:tcPr/>
          <w:p>
            <w:pPr>
              <w:pStyle w:val="Compact"/>
            </w:pPr>
            <w:r>
              <w:t xml:space="preserve">Sebastián Vásquez</w:t>
            </w:r>
          </w:p>
        </w:tc>
        <w:tc>
          <w:tcPr/>
          <w:p>
            <w:pPr>
              <w:pStyle w:val="Compact"/>
            </w:pPr>
            <w:r>
              <w:t xml:space="preserve">Intended to present the current INLA-based Chilean spatio-temporal series.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Comparison of alternative Fleet 2 CPUE indices</w:t>
            </w:r>
          </w:p>
        </w:tc>
        <w:tc>
          <w:tcPr/>
          <w:p>
            <w:pPr>
              <w:pStyle w:val="Compact"/>
            </w:pPr>
            <w:r>
              <w:t xml:space="preserve">Ignacio Payá and Sebastián Vásquez</w:t>
            </w:r>
          </w:p>
        </w:tc>
        <w:tc>
          <w:tcPr/>
          <w:p>
            <w:pPr>
              <w:pStyle w:val="Compact"/>
            </w:pPr>
            <w:r>
              <w:t xml:space="preserve">Compare competing methods and identify practical advantages, limitations, and benchmark relevance.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Update of the effort-creep analysis for Fleet 2 CPUE</w:t>
            </w:r>
          </w:p>
        </w:tc>
        <w:tc>
          <w:tcPr/>
          <w:p>
            <w:pPr>
              <w:pStyle w:val="Compact"/>
            </w:pPr>
            <w:r>
              <w:t xml:space="preserve">José Zenteno and Ignacio Payá</w:t>
            </w:r>
          </w:p>
        </w:tc>
        <w:tc>
          <w:tcPr/>
          <w:p>
            <w:pPr>
              <w:pStyle w:val="Compact"/>
            </w:pPr>
            <w:r>
              <w:t xml:space="preserve">Revisit the earlier sensitivity analysis and its biomass implications.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Standardization of catch-per-unit-effort (CPUE) for jack mackerel (2015-2025) in Peruvian national jurisdictional waters</w:t>
            </w:r>
          </w:p>
        </w:tc>
        <w:tc>
          <w:tcPr/>
          <w:p>
            <w:pPr>
              <w:pStyle w:val="Compact"/>
            </w:pPr>
            <w:r>
              <w:t xml:space="preserve">Miran Geronimo and Gersson Roman</w:t>
            </w:r>
          </w:p>
        </w:tc>
        <w:tc>
          <w:tcPr/>
          <w:p>
            <w:pPr>
              <w:pStyle w:val="Compact"/>
            </w:pPr>
            <w:r>
              <w:t xml:space="preserve">Peruvian delegation report requested by Ana Alegre for presentation and discussion during the Day 2 CPUE session. Review national-jurisdiction CPUE standardization, industrial and artisanal data where available, and implications for benchmark index selection.</w:t>
            </w:r>
          </w:p>
        </w:tc>
      </w:tr>
    </w:tbl>
    <w:bookmarkEnd w:id="17"/>
    <w:bookmarkStart w:id="18" w:name="subsequent-peruvian-report-update"/>
    <w:p>
      <w:pPr>
        <w:pStyle w:val="Heading1"/>
      </w:pPr>
      <w:r>
        <w:t xml:space="preserve">Subsequent Peruvian Report Update</w:t>
      </w:r>
    </w:p>
    <w:p>
      <w:pPr>
        <w:pStyle w:val="FirstParagraph"/>
      </w:pPr>
      <w:r>
        <w:t xml:space="preserve">On 14 May 2026, Ana Alegre notified the organizers that work-related delays had affected</w:t>
      </w:r>
      <w:r>
        <w:t xml:space="preserve"> </w:t>
      </w:r>
      <w:r>
        <w:t xml:space="preserve">delivery of several Peruvian delegation reports planned for the benchmark workshop. The CPUE</w:t>
      </w:r>
      <w:r>
        <w:t xml:space="preserve"> </w:t>
      </w:r>
      <w:r>
        <w:t xml:space="preserve">session should explicitly reserve time for the Peruvian CPUE standardization report listed above.</w:t>
      </w:r>
      <w:r>
        <w:t xml:space="preserve"> </w:t>
      </w:r>
      <w:r>
        <w:t xml:space="preserve">This report is the CPUE-session item most directly linked to Doc02.</w:t>
      </w:r>
    </w:p>
    <w:p>
      <w:pPr>
        <w:pStyle w:val="BodyText"/>
      </w:pPr>
      <w:r>
        <w:t xml:space="preserve">Ana also identified the following related Peruvian reports: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Technical report on the updated length-frequency data of the Peruvian jack mackerel</w:t>
      </w:r>
      <w:r>
        <w:rPr>
          <w:i/>
          <w:iCs/>
        </w:rPr>
        <w:t xml:space="preserve"> </w:t>
      </w:r>
      <w:r>
        <w:rPr>
          <w:i/>
          <w:iCs/>
        </w:rPr>
        <w:t xml:space="preserve">(Trachurus murphyi) stock in national jurisdictional waters</w:t>
      </w:r>
      <w:r>
        <w:t xml:space="preserve"> </w:t>
      </w:r>
      <w:r>
        <w:t xml:space="preserve">(Criscely Luján and Gersson</w:t>
      </w:r>
      <w:r>
        <w:t xml:space="preserve"> </w:t>
      </w:r>
      <w:r>
        <w:t xml:space="preserve">Roman). This report was requested for presentation and discussion during the Day 3 biological</w:t>
      </w:r>
      <w:r>
        <w:t xml:space="preserve"> </w:t>
      </w:r>
      <w:r>
        <w:t xml:space="preserve">inputs session.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Length-weight relationship of jack mackerel (Trachurus murphyi) in Peru and its implications</w:t>
      </w:r>
      <w:r>
        <w:rPr>
          <w:i/>
          <w:iCs/>
        </w:rPr>
        <w:t xml:space="preserve"> </w:t>
      </w:r>
      <w:r>
        <w:rPr>
          <w:i/>
          <w:iCs/>
        </w:rPr>
        <w:t xml:space="preserve">for biomass estimation</w:t>
      </w:r>
      <w:r>
        <w:t xml:space="preserve"> </w:t>
      </w:r>
      <w:r>
        <w:t xml:space="preserve">(Sandra Cahuin, Ana Alegre and Marilú Bouchon).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Considerations on the use of the jack mackerel acoustic index in Peruvian national</w:t>
      </w:r>
      <w:r>
        <w:rPr>
          <w:i/>
          <w:iCs/>
        </w:rPr>
        <w:t xml:space="preserve"> </w:t>
      </w:r>
      <w:r>
        <w:rPr>
          <w:i/>
          <w:iCs/>
        </w:rPr>
        <w:t xml:space="preserve">jurisdictional waters</w:t>
      </w:r>
      <w:r>
        <w:t xml:space="preserve"> </w:t>
      </w:r>
      <w:r>
        <w:t xml:space="preserve">(Gersson Roman, Sandra Cahuin and Marilú Bouchon).</w:t>
      </w:r>
    </w:p>
    <w:p>
      <w:pPr>
        <w:pStyle w:val="FirstParagraph"/>
      </w:pPr>
      <w:r>
        <w:t xml:space="preserve">Although the latter three reports are not CPUE working papers, they affect the broader benchmark</w:t>
      </w:r>
      <w:r>
        <w:t xml:space="preserve"> </w:t>
      </w:r>
      <w:r>
        <w:t xml:space="preserve">agenda and should be cross-referenced when the CPUE session discusses index interpretation,</w:t>
      </w:r>
      <w:r>
        <w:t xml:space="preserve"> </w:t>
      </w:r>
      <w:r>
        <w:t xml:space="preserve">biological inputs, or consistency among abundance indices.</w:t>
      </w:r>
    </w:p>
    <w:bookmarkEnd w:id="18"/>
    <w:bookmarkStart w:id="25" w:name="main-technical-issues-identified"/>
    <w:p>
      <w:pPr>
        <w:pStyle w:val="Heading1"/>
      </w:pPr>
      <w:r>
        <w:t xml:space="preserve">Main Technical Issues Identified</w:t>
      </w:r>
    </w:p>
    <w:bookmarkStart w:id="19" w:name="comparison-of-modelling-approaches"/>
    <w:p>
      <w:pPr>
        <w:pStyle w:val="Heading2"/>
      </w:pPr>
      <w:r>
        <w:t xml:space="preserve">1. Comparison of modelling approaches</w:t>
      </w:r>
    </w:p>
    <w:p>
      <w:pPr>
        <w:pStyle w:val="FirstParagraph"/>
      </w:pPr>
      <w:r>
        <w:t xml:space="preserve">The group emphasized that traditional GLM products and newer spatio-temporal approaches should</w:t>
      </w:r>
      <w:r>
        <w:t xml:space="preserve"> </w:t>
      </w:r>
      <w:r>
        <w:t xml:space="preserve">be compared directly rather than treated as unrelated alternatives. The benchmark should evaluate</w:t>
      </w:r>
      <w:r>
        <w:t xml:space="preserve"> </w:t>
      </w:r>
      <w:r>
        <w:t xml:space="preserve">whether extra complexity produces a materially better and more defensible index, or whether a</w:t>
      </w:r>
      <w:r>
        <w:t xml:space="preserve"> </w:t>
      </w:r>
      <w:r>
        <w:t xml:space="preserve">simpler method remains preferable.</w:t>
      </w:r>
    </w:p>
    <w:bookmarkEnd w:id="19"/>
    <w:bookmarkStart w:id="20" w:name="X4d961fd257470df2933065f6b359e2287dea819"/>
    <w:p>
      <w:pPr>
        <w:pStyle w:val="Heading2"/>
      </w:pPr>
      <w:r>
        <w:t xml:space="preserve">2. Need to avoid duplicated Chilean products where possible</w:t>
      </w:r>
    </w:p>
    <w:p>
      <w:pPr>
        <w:pStyle w:val="FirstParagraph"/>
      </w:pPr>
      <w:r>
        <w:t xml:space="preserve">Participants noted substantial overlap between the Chilean GLM and spatio-temporal work streams.</w:t>
      </w:r>
      <w:r>
        <w:t xml:space="preserve"> </w:t>
      </w:r>
      <w:r>
        <w:t xml:space="preserve">One of the practical benchmark goals should therefore be to decide whether a single Chilean CPUE</w:t>
      </w:r>
      <w:r>
        <w:t xml:space="preserve"> </w:t>
      </w:r>
      <w:r>
        <w:t xml:space="preserve">time series can be recommended for the main assessment, even if multiple alternative series are</w:t>
      </w:r>
      <w:r>
        <w:t xml:space="preserve"> </w:t>
      </w:r>
      <w:r>
        <w:t xml:space="preserve">retained for sensitivity analyses.</w:t>
      </w:r>
    </w:p>
    <w:bookmarkEnd w:id="20"/>
    <w:bookmarkStart w:id="21" w:name="X96045968f08655bb57e833e5f59de4d826d2a4b"/>
    <w:p>
      <w:pPr>
        <w:pStyle w:val="Heading2"/>
      </w:pPr>
      <w:r>
        <w:t xml:space="preserve">3. Effort creep versus catchability or availability change</w:t>
      </w:r>
    </w:p>
    <w:p>
      <w:pPr>
        <w:pStyle w:val="FirstParagraph"/>
      </w:pPr>
      <w:r>
        <w:t xml:space="preserve">The meeting highlighted the difficulty of applying a single flat effort-creep rate across periods</w:t>
      </w:r>
      <w:r>
        <w:t xml:space="preserve"> </w:t>
      </w:r>
      <w:r>
        <w:t xml:space="preserve">with changing fleet behavior, area usage, and technology. At the same time, several participants</w:t>
      </w:r>
      <w:r>
        <w:t xml:space="preserve"> </w:t>
      </w:r>
      <w:r>
        <w:t xml:space="preserve">noted that introducing effort creep in recent model runs had little effect because existing</w:t>
      </w:r>
      <w:r>
        <w:t xml:space="preserve"> </w:t>
      </w:r>
      <w:r>
        <w:t xml:space="preserve">catchability blocks may already be absorbing part of the same signal. This remains a key benchmark</w:t>
      </w:r>
      <w:r>
        <w:t xml:space="preserve"> </w:t>
      </w:r>
      <w:r>
        <w:t xml:space="preserve">question rather than a settled issue.</w:t>
      </w:r>
    </w:p>
    <w:bookmarkEnd w:id="21"/>
    <w:bookmarkStart w:id="22" w:name="X3a6d109c9926d0d86db347d5db5cf6e4ddf716d"/>
    <w:p>
      <w:pPr>
        <w:pStyle w:val="Heading2"/>
      </w:pPr>
      <w:r>
        <w:t xml:space="preserve">4. Observation level and comparability across countries</w:t>
      </w:r>
    </w:p>
    <w:p>
      <w:pPr>
        <w:pStyle w:val="FirstParagraph"/>
      </w:pPr>
      <w:r>
        <w:t xml:space="preserve">Peruvian CPUE work continues to rely mainly on trip-level information, while some Chilean products</w:t>
      </w:r>
      <w:r>
        <w:t xml:space="preserve"> </w:t>
      </w:r>
      <w:r>
        <w:t xml:space="preserve">operate at set level or use more explicit spatial structure. The benchmark should note these</w:t>
      </w:r>
      <w:r>
        <w:t xml:space="preserve"> </w:t>
      </w:r>
      <w:r>
        <w:t xml:space="preserve">differences clearly because they affect both comparability and the feasible level of harmonisation</w:t>
      </w:r>
      <w:r>
        <w:t xml:space="preserve"> </w:t>
      </w:r>
      <w:r>
        <w:t xml:space="preserve">across countries and fleets.</w:t>
      </w:r>
    </w:p>
    <w:bookmarkEnd w:id="22"/>
    <w:bookmarkStart w:id="23" w:name="Xdf05622276576c68fbd988121dc74f4a0f3bf2c"/>
    <w:p>
      <w:pPr>
        <w:pStyle w:val="Heading2"/>
      </w:pPr>
      <w:r>
        <w:t xml:space="preserve">5. Availability shifts and recent index contradictions</w:t>
      </w:r>
    </w:p>
    <w:p>
      <w:pPr>
        <w:pStyle w:val="FirstParagraph"/>
      </w:pPr>
      <w:r>
        <w:t xml:space="preserve">The coordination discussion treated the recent sharp decline in offshore CPUE as a probable</w:t>
      </w:r>
      <w:r>
        <w:t xml:space="preserve"> </w:t>
      </w:r>
      <w:r>
        <w:t xml:space="preserve">availability or catchability signal rather than decisive evidence of an abrupt stock collapse.</w:t>
      </w:r>
      <w:r>
        <w:t xml:space="preserve"> </w:t>
      </w:r>
      <w:r>
        <w:t xml:space="preserve">This reinforces the need to review index-biomass relationships explicitly rather than assuming</w:t>
      </w:r>
      <w:r>
        <w:t xml:space="preserve"> </w:t>
      </w:r>
      <w:r>
        <w:t xml:space="preserve">that all indices are directly proportional to total stock biomass at all times.</w:t>
      </w:r>
    </w:p>
    <w:bookmarkEnd w:id="23"/>
    <w:bookmarkStart w:id="24" w:name="combined-index-products-for-mse"/>
    <w:p>
      <w:pPr>
        <w:pStyle w:val="Heading2"/>
      </w:pPr>
      <w:r>
        <w:t xml:space="preserve">6. Combined index products for MSE</w:t>
      </w:r>
    </w:p>
    <w:p>
      <w:pPr>
        <w:pStyle w:val="FirstParagraph"/>
      </w:pPr>
      <w:r>
        <w:t xml:space="preserve">The group did not assume that a single combined CPUE index should be produced for the benchmark.</w:t>
      </w:r>
      <w:r>
        <w:t xml:space="preserve"> </w:t>
      </w:r>
      <w:r>
        <w:t xml:space="preserve">Instead, the benchmark should review whether separate country or fleet series are more informative,</w:t>
      </w:r>
      <w:r>
        <w:t xml:space="preserve"> </w:t>
      </w:r>
      <w:r>
        <w:t xml:space="preserve">or whether some form of combined product would be more useful for operating-model conditioning and</w:t>
      </w:r>
      <w:r>
        <w:t xml:space="preserve"> </w:t>
      </w:r>
      <w:r>
        <w:t xml:space="preserve">for candidate management procedures.</w:t>
      </w:r>
    </w:p>
    <w:bookmarkEnd w:id="24"/>
    <w:bookmarkEnd w:id="25"/>
    <w:bookmarkStart w:id="26" w:name="action-items"/>
    <w:p>
      <w:pPr>
        <w:pStyle w:val="Heading1"/>
      </w:pPr>
      <w:r>
        <w:t xml:space="preserve">Action Items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Lead</w:t>
            </w:r>
          </w:p>
        </w:tc>
        <w:tc>
          <w:tcPr/>
          <w:p>
            <w:pPr>
              <w:pStyle w:val="Compact"/>
            </w:pPr>
            <w:r>
              <w:t xml:space="preserve">Support</w:t>
            </w:r>
          </w:p>
        </w:tc>
        <w:tc>
          <w:tcPr/>
          <w:p>
            <w:pPr>
              <w:pStyle w:val="Compact"/>
            </w:pPr>
            <w:r>
              <w:t xml:space="preserve">Timing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Circulate the preliminary CPUE agenda and proposed supporting papers to Jim</w:t>
            </w:r>
          </w:p>
        </w:tc>
        <w:tc>
          <w:tcPr/>
          <w:p>
            <w:pPr>
              <w:pStyle w:val="Compact"/>
            </w:pPr>
            <w:r>
              <w:t xml:space="preserve">Ignacio Payá</w:t>
            </w:r>
          </w:p>
        </w:tc>
        <w:tc>
          <w:tcPr/>
          <w:p>
            <w:pPr>
              <w:pStyle w:val="Compact"/>
            </w:pPr>
            <w:r>
              <w:t xml:space="preserve">CPUE subgroup</w:t>
            </w:r>
          </w:p>
        </w:tc>
        <w:tc>
          <w:tcPr/>
          <w:p>
            <w:pPr>
              <w:pStyle w:val="Compact"/>
            </w:pPr>
            <w:r>
              <w:t xml:space="preserve">Immediate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 updated Chilean CPUE products and comparison materials</w:t>
            </w:r>
          </w:p>
        </w:tc>
        <w:tc>
          <w:tcPr/>
          <w:p>
            <w:pPr>
              <w:pStyle w:val="Compact"/>
            </w:pPr>
            <w:r>
              <w:t xml:space="preserve">Ignacio Payá and Sebastián Vásquez</w:t>
            </w:r>
          </w:p>
        </w:tc>
        <w:tc>
          <w:tcPr/>
          <w:p>
            <w:pPr>
              <w:pStyle w:val="Compact"/>
            </w:pPr>
            <w:r>
              <w:t xml:space="preserve">Chilean CPUE subgroup</w:t>
            </w:r>
          </w:p>
        </w:tc>
        <w:tc>
          <w:tcPr/>
          <w:p>
            <w:pPr>
              <w:pStyle w:val="Compact"/>
            </w:pPr>
            <w:r>
              <w:t xml:space="preserve">Before 1 May 2026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Update the Fleet 2 effort-creep analysis and summarize biomass impacts</w:t>
            </w:r>
          </w:p>
        </w:tc>
        <w:tc>
          <w:tcPr/>
          <w:p>
            <w:pPr>
              <w:pStyle w:val="Compact"/>
            </w:pPr>
            <w:r>
              <w:t xml:space="preserve">José Zenteno and Ignacio Payá</w:t>
            </w:r>
          </w:p>
        </w:tc>
        <w:tc>
          <w:tcPr/>
          <w:p>
            <w:pPr>
              <w:pStyle w:val="Compact"/>
            </w:pPr>
            <w:r>
              <w:t xml:space="preserve">Chilean CPUE subgroup</w:t>
            </w:r>
          </w:p>
        </w:tc>
        <w:tc>
          <w:tcPr/>
          <w:p>
            <w:pPr>
              <w:pStyle w:val="Compact"/>
            </w:pPr>
            <w:r>
              <w:t xml:space="preserve">Before 1 May 2026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 and schedule the Peruvian CPUE standardization report for the Day 2 CPUE session</w:t>
            </w:r>
          </w:p>
        </w:tc>
        <w:tc>
          <w:tcPr/>
          <w:p>
            <w:pPr>
              <w:pStyle w:val="Compact"/>
            </w:pPr>
            <w:r>
              <w:t xml:space="preserve">Miran Geronimo and Gersson Roman</w:t>
            </w:r>
          </w:p>
        </w:tc>
        <w:tc>
          <w:tcPr/>
          <w:p>
            <w:pPr>
              <w:pStyle w:val="Compact"/>
            </w:pPr>
            <w:r>
              <w:t xml:space="preserve">Ana Alegre and Peru subgroup</w:t>
            </w:r>
          </w:p>
        </w:tc>
        <w:tc>
          <w:tcPr/>
          <w:p>
            <w:pPr>
              <w:pStyle w:val="Compact"/>
            </w:pPr>
            <w:r>
              <w:t xml:space="preserve">Before SCW16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Track related Peruvian length-frequency, length-weight, and acoustic-index reports in the benchmark agenda</w:t>
            </w:r>
          </w:p>
        </w:tc>
        <w:tc>
          <w:tcPr/>
          <w:p>
            <w:pPr>
              <w:pStyle w:val="Compact"/>
            </w:pPr>
            <w:r>
              <w:t xml:space="preserve">Ana Alegre and Peru subgroup</w:t>
            </w:r>
          </w:p>
        </w:tc>
        <w:tc>
          <w:tcPr/>
          <w:p>
            <w:pPr>
              <w:pStyle w:val="Compact"/>
            </w:pPr>
            <w:r>
              <w:t xml:space="preserve">Workshop organizers</w:t>
            </w:r>
          </w:p>
        </w:tc>
        <w:tc>
          <w:tcPr/>
          <w:p>
            <w:pPr>
              <w:pStyle w:val="Compact"/>
            </w:pPr>
            <w:r>
              <w:t xml:space="preserve">Before SCW16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Coordinate workshop-session organization linked to the CPUE agenda</w:t>
            </w:r>
          </w:p>
        </w:tc>
        <w:tc>
          <w:tcPr/>
          <w:p>
            <w:pPr>
              <w:pStyle w:val="Compact"/>
            </w:pPr>
            <w:r>
              <w:t xml:space="preserve">Criscely Lujan</w:t>
            </w:r>
          </w:p>
        </w:tc>
        <w:tc>
          <w:tcPr/>
          <w:p>
            <w:pPr>
              <w:pStyle w:val="Compact"/>
            </w:pPr>
            <w:r>
              <w:t xml:space="preserve">Ana Alegre and workshop organizers</w:t>
            </w:r>
          </w:p>
        </w:tc>
        <w:tc>
          <w:tcPr/>
          <w:p>
            <w:pPr>
              <w:pStyle w:val="Compact"/>
            </w:pPr>
            <w:r>
              <w:t xml:space="preserve">Before SCW16</w:t>
            </w:r>
          </w:p>
        </w:tc>
      </w:tr>
    </w:tbl>
    <w:bookmarkEnd w:id="26"/>
    <w:bookmarkStart w:id="27" w:name="relationship-to-doc03"/>
    <w:p>
      <w:pPr>
        <w:pStyle w:val="Heading1"/>
      </w:pPr>
      <w:r>
        <w:t xml:space="preserve">Relationship to Doc03</w:t>
      </w:r>
    </w:p>
    <w:p>
      <w:pPr>
        <w:pStyle w:val="FirstParagraph"/>
      </w:pPr>
      <w:r>
        <w:rPr>
          <w:rStyle w:val="VerbatimChar"/>
        </w:rPr>
        <w:t xml:space="preserve">SCW16-Doc03-CPUE_MetaAnalysis.qmd</w:t>
      </w:r>
      <w:r>
        <w:t xml:space="preserve"> </w:t>
      </w:r>
      <w:r>
        <w:t xml:space="preserve">should remain focused on the historical synthesis of CPUE</w:t>
      </w:r>
      <w:r>
        <w:t xml:space="preserve"> </w:t>
      </w:r>
      <w:r>
        <w:t xml:space="preserve">papers submitted from SC10 to SC13. If additional editing is needed there, the most natural change</w:t>
      </w:r>
      <w:r>
        <w:t xml:space="preserve"> </w:t>
      </w:r>
      <w:r>
        <w:t xml:space="preserve">would be a short cross-reference in the introduction noting that the forward-looking SCW16 CPUE</w:t>
      </w:r>
      <w:r>
        <w:t xml:space="preserve"> </w:t>
      </w:r>
      <w:r>
        <w:t xml:space="preserve">work plan is documented separately in SCW16-Doc02 rather than expanding Doc03 into a second,</w:t>
      </w:r>
      <w:r>
        <w:t xml:space="preserve"> </w:t>
      </w:r>
      <w:r>
        <w:t xml:space="preserve">different document type.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CPUE coordination priorities and working-paper plan</dc:title>
  <dc:creator/>
  <cp:keywords/>
  <dcterms:created xsi:type="dcterms:W3CDTF">2026-05-14T23:12:47Z</dcterms:created>
  <dcterms:modified xsi:type="dcterms:W3CDTF">2026-05-14T23:12:47Z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execute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itle-block">
    <vt:lpwstr>False</vt:lpwstr>
  </property>
  <property fmtid="{D5CDD505-2E9C-101B-9397-08002B2CF9AE}" pid="10" name="toc-title">
    <vt:lpwstr>Table of contents</vt:lpwstr>
  </property>
</Properties>
</file>