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35.png" ContentType="image/png"/>
  <Override PartName="/word/media/rId39.png" ContentType="image/png"/>
  <Override PartName="/word/media/rId43.png" ContentType="image/png"/>
  <Override PartName="/word/media/rId47.png" ContentType="image/png"/>
  <Override PartName="/word/media/rId18.png" ContentType="image/png"/>
  <Override PartName="/word/media/rId53.png" ContentType="image/png"/>
  <Override PartName="/word/media/rId57.png" ContentType="image/png"/>
  <Override PartName="/word/media/rId27.png" ContentType="image/png"/>
  <Override PartName="/word/media/rId31.png" ContentType="image/png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JM Biology</w:t>
      </w:r>
    </w:p>
    <w:p>
      <w:pPr>
        <w:pStyle w:val="Subtitle"/>
      </w:pPr>
      <w:r>
        <w:t xml:space="preserve">Biological data used in the joint jack mackerel assessment</w:t>
      </w:r>
    </w:p>
    <w:p>
      <w:pPr>
        <w:pStyle w:val="Author"/>
      </w:pPr>
      <w:r>
        <w:t xml:space="preserve">Jack Mackerel Working Group</w:t>
      </w:r>
    </w:p>
    <w:p>
      <w:pPr>
        <w:pStyle w:val="Date"/>
      </w:pPr>
      <w:r>
        <w:t xml:space="preserve">2026-05-11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4400"/>
        <w:gridCol w:w="352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drawing>
                <wp:inline>
                  <wp:extent cx="1234440" cy="1223705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annex/logo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0" cy="1223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  <w:jc w:val="left"/>
            </w:pPr>
            <w:r>
              <w:rPr>
                <w:b/>
                <w:bCs/>
              </w:rPr>
              <w:t xml:space="preserve">SPRFMO</w:t>
            </w:r>
            <w:r>
              <w:t xml:space="preserve">South Pacific Regional Fisheries Management Organisation</w:t>
            </w:r>
            <w:r>
              <w:rPr>
                <w:b/>
                <w:bCs/>
              </w:rPr>
              <w:t xml:space="preserve">Jack Mackerel Working Group</w:t>
            </w:r>
          </w:p>
        </w:tc>
      </w:tr>
    </w:tbl>
    <w:p>
      <w:pPr>
        <w:pStyle w:val="BodyText"/>
      </w:pPr>
      <w:r>
        <w:rPr>
          <w:b/>
          <w:bCs/>
        </w:rPr>
        <w:t xml:space="preserve">1.</w:t>
      </w:r>
      <w:r>
        <w:t xml:space="preserve"> </w:t>
      </w:r>
      <w:r>
        <w:rPr>
          <w:i/>
          <w:iCs/>
        </w:rPr>
        <w:t xml:space="preserve">SCW16/Paper-05</w:t>
      </w:r>
    </w:p>
    <w:p>
      <w:pPr>
        <w:pStyle w:val="BodyText"/>
      </w:pPr>
      <w:r>
        <w:t xml:space="preserve">11 May 2026</w:t>
      </w:r>
    </w:p>
    <w:bookmarkStart w:id="12" w:name="intro"/>
    <w:p>
      <w:pPr>
        <w:pStyle w:val="Heading1"/>
      </w:pPr>
      <w:r>
        <w:t xml:space="preserve">1. Intro</w:t>
      </w:r>
    </w:p>
    <w:p>
      <w:pPr>
        <w:pStyle w:val="FirstParagraph"/>
      </w:pPr>
      <w:r>
        <w:rPr>
          <w:b/>
          <w:bCs/>
        </w:rPr>
        <w:t xml:space="preserve">2.</w:t>
      </w:r>
      <w:r>
        <w:t xml:space="preserve"> </w:t>
      </w:r>
      <w:r>
        <w:t xml:space="preserve">This working paper evaluates the biological inputs used in the joint jack</w:t>
      </w:r>
      <w:r>
        <w:t xml:space="preserve"> </w:t>
      </w:r>
      <w:r>
        <w:t xml:space="preserve">mackerel assessment data and control files for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. The immediate</w:t>
      </w:r>
      <w:r>
        <w:t xml:space="preserve"> </w:t>
      </w:r>
      <w:r>
        <w:t xml:space="preserve">purpose is to provide a focused biological-data review for</w:t>
      </w:r>
      <w:r>
        <w:t xml:space="preserve"> </w:t>
      </w:r>
      <w:r>
        <w:rPr>
          <w:rStyle w:val="VerbatimChar"/>
        </w:rPr>
        <w:t xml:space="preserve">JM_SCW_prep</w:t>
      </w:r>
      <w:r>
        <w:t xml:space="preserve">, while</w:t>
      </w:r>
      <w:r>
        <w:t xml:space="preserve"> </w:t>
      </w:r>
      <w:r>
        <w:t xml:space="preserve">keeping the assessment inputs and configuration files traceable to the</w:t>
      </w:r>
      <w:r>
        <w:t xml:space="preserve"> </w:t>
      </w:r>
      <w:r>
        <w:t xml:space="preserve">neighboring</w:t>
      </w:r>
      <w:r>
        <w:t xml:space="preserve"> </w:t>
      </w:r>
      <w:r>
        <w:rPr>
          <w:rStyle w:val="VerbatimChar"/>
        </w:rPr>
        <w:t xml:space="preserve">jjm</w:t>
      </w:r>
      <w:r>
        <w:t xml:space="preserve"> </w:t>
      </w:r>
      <w:r>
        <w:t xml:space="preserve">repository.</w:t>
      </w:r>
    </w:p>
    <w:p>
      <w:pPr>
        <w:pStyle w:val="BodyText"/>
      </w:pPr>
      <w:r>
        <w:rPr>
          <w:b/>
          <w:bCs/>
        </w:rPr>
        <w:t xml:space="preserve">3.</w:t>
      </w:r>
      <w:r>
        <w:t xml:space="preserve"> </w:t>
      </w:r>
      <w:r>
        <w:t xml:space="preserve">This contribution extends from the 2022 Jack Mackerel Benchmark Workshop</w:t>
      </w:r>
      <w:r>
        <w:t xml:space="preserve"> </w:t>
      </w:r>
      <w:r>
        <w:t xml:space="preserve">(SCW14) and its final report, which provide the previous benchmark basis for</w:t>
      </w:r>
      <w:r>
        <w:t xml:space="preserve"> </w:t>
      </w:r>
      <w:r>
        <w:t xml:space="preserve">the joint jack mackerel assessment</w:t>
      </w:r>
      <w:r>
        <w:t xml:space="preserve"> </w:t>
      </w:r>
      <w:r>
        <w:t xml:space="preserve">(SPRFMO Scientific Committee, 2022a, 2022b)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4.</w:t>
      </w:r>
      <w:r>
        <w:t xml:space="preserve"> </w:t>
      </w:r>
      <w:r>
        <w:t xml:space="preserve">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 </w:t>
      </w:r>
      <w:r>
        <w:t xml:space="preserve">is the SC13 model update described in</w:t>
      </w:r>
      <w:r>
        <w:t xml:space="preserve"> </w:t>
      </w:r>
      <w:r>
        <w:rPr>
          <w:rStyle w:val="VerbatimChar"/>
        </w:rPr>
        <w:t xml:space="preserve">jjm/assessment/README.md</w:t>
      </w:r>
      <w:r>
        <w:t xml:space="preserve"> </w:t>
      </w:r>
      <w:r>
        <w:t xml:space="preserve">as model</w:t>
      </w:r>
      <w:r>
        <w:t xml:space="preserve"> </w:t>
      </w:r>
      <w:r>
        <w:rPr>
          <w:rStyle w:val="VerbatimChar"/>
        </w:rPr>
        <w:t xml:space="preserve">1.13</w:t>
      </w:r>
      <w:r>
        <w:t xml:space="preserve"> </w:t>
      </w:r>
      <w:r>
        <w:t xml:space="preserve">with updates to historical weight-at-age for the Far North</w:t>
      </w:r>
      <w:r>
        <w:t xml:space="preserve"> </w:t>
      </w:r>
      <w:r>
        <w:t xml:space="preserve">fleet. The SC13 final report and Jack Mackerel Technical Annex provide the</w:t>
      </w:r>
      <w:r>
        <w:t xml:space="preserve"> </w:t>
      </w:r>
      <w:r>
        <w:t xml:space="preserve">formal assessment context for this model series</w:t>
      </w:r>
      <w:r>
        <w:t xml:space="preserve"> </w:t>
      </w:r>
      <w:r>
        <w:t xml:space="preserve">(SPRFMO Scientific Committee, 2025a, 2025b)</w:t>
      </w:r>
      <w:r>
        <w:t xml:space="preserve">. The same data file is used with both assessment</w:t>
      </w:r>
      <w:r>
        <w:t xml:space="preserve"> </w:t>
      </w:r>
      <w:r>
        <w:t xml:space="preserve">hypotheses:</w:t>
      </w:r>
      <w:r>
        <w:t xml:space="preserve"> </w:t>
      </w:r>
      <w:r>
        <w:rPr>
          <w:rStyle w:val="VerbatimChar"/>
        </w:rPr>
        <w:t xml:space="preserve">h1_1.14</w:t>
      </w:r>
      <w:r>
        <w:t xml:space="preserve"> </w:t>
      </w:r>
      <w:r>
        <w:t xml:space="preserve">for the single-stock model and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 </w:t>
      </w:r>
      <w:r>
        <w:t xml:space="preserve">for the</w:t>
      </w:r>
      <w:r>
        <w:t xml:space="preserve"> </w:t>
      </w:r>
      <w:r>
        <w:t xml:space="preserve">two-stock model.</w:t>
      </w:r>
    </w:p>
    <w:bookmarkEnd w:id="12"/>
    <w:bookmarkStart w:id="15" w:name="model-data"/>
    <w:p>
      <w:pPr>
        <w:pStyle w:val="Heading1"/>
      </w:pPr>
      <w:r>
        <w:t xml:space="preserve">2. Model data</w:t>
      </w:r>
    </w:p>
    <w:p>
      <w:pPr>
        <w:pStyle w:val="FirstParagraph"/>
      </w:pPr>
      <w:r>
        <w:rPr>
          <w:b/>
          <w:bCs/>
        </w:rPr>
        <w:t xml:space="preserve">5.</w:t>
      </w:r>
      <w:r>
        <w:t xml:space="preserve"> </w:t>
      </w:r>
      <w:r>
        <w:t xml:space="preserve">The source files used by this report are listed in</w:t>
      </w:r>
      <w:r>
        <w:t xml:space="preserve"> </w:t>
      </w:r>
      <w:hyperlink w:anchor="tbl-source-files">
        <w:r>
          <w:rPr>
            <w:rStyle w:val="Hyperlink"/>
          </w:rPr>
          <w:t xml:space="preserve">Table 1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3" w:name="tbl-source-files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1: Source files used by this biological-data working paper.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3960"/>
              <w:gridCol w:w="3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Role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Path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Common data file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../jjm/assessment/input/1.14.dat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Single-stock control file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../jjm/assessment/config/h1_1.14.ctl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Two-stock control file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../jjm/assessment/config/h2_1.14.ctl</w:t>
                  </w:r>
                </w:p>
              </w:tc>
            </w:tr>
          </w:tbl>
          <w:bookmarkEnd w:id="13"/>
          <w:p/>
        </w:tc>
      </w:tr>
    </w:tbl>
    <w:p>
      <w:pPr>
        <w:pStyle w:val="BodyText"/>
      </w:pPr>
      <w:r>
        <w:rPr>
          <w:b/>
          <w:bCs/>
        </w:rPr>
        <w:t xml:space="preserve">6.</w:t>
      </w:r>
      <w:r>
        <w:t xml:space="preserve"> </w:t>
      </w:r>
      <w:r>
        <w:t xml:space="preserve">The common data file defines the temporal, age, fleet, composition, index, and</w:t>
      </w:r>
      <w:r>
        <w:t xml:space="preserve"> </w:t>
      </w:r>
      <w:r>
        <w:t xml:space="preserve">weight-at-age information used by the model. The control files define how those</w:t>
      </w:r>
      <w:r>
        <w:t xml:space="preserve"> </w:t>
      </w:r>
      <w:r>
        <w:t xml:space="preserve">data are mapped to stock hypotheses, including natural mortality, maturity,</w:t>
      </w:r>
      <w:r>
        <w:t xml:space="preserve"> </w:t>
      </w:r>
      <w:r>
        <w:t xml:space="preserve">growth, population weight-at-age, catchability, and selectivity assumptions.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4" w:name="tbl-model-data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2: High-level contents of the model 1.14 data file.</w:t>
            </w:r>
          </w:p>
          <w:tbl>
            <w:tblPr>
              <w:tblStyle w:val="Table"/>
              <w:tblW w:type="pct" w:w="5000"/>
              <w:tblLayout w:type="fixed"/>
              <w:tblLook w:firstRow="1" w:lastRow="0" w:firstColumn="0" w:lastColumn="0" w:noHBand="0" w:noVBand="0" w:val="0020"/>
            </w:tblPr>
            <w:tblGrid>
              <w:gridCol w:w="960"/>
              <w:gridCol w:w="696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item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 years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1970-2025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Ages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1-12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Fleets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N_Chile, SC_Chile_PS, FarNorth, Offshore_Trawl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Indices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Chile_AcousCS, Chile_AcousN, Chile_CPUE, DEPM, Peru_Acoustic, Peru_CPUE, Offshore_CPUE</w:t>
                  </w:r>
                </w:p>
              </w:tc>
            </w:tr>
          </w:tbl>
          <w:bookmarkEnd w:id="14"/>
          <w:p/>
        </w:tc>
      </w:tr>
    </w:tbl>
    <w:p>
      <w:pPr>
        <w:pStyle w:val="BodyText"/>
      </w:pPr>
      <w:r>
        <w:rPr>
          <w:b/>
          <w:bCs/>
        </w:rPr>
        <w:t xml:space="preserve">7.</w:t>
      </w:r>
      <w:r>
        <w:t xml:space="preserve"> </w:t>
      </w:r>
      <w:r>
        <w:t xml:space="preserve">The biological review should distinguish between information contained directly</w:t>
      </w:r>
      <w:r>
        <w:t xml:space="preserve"> </w:t>
      </w:r>
      <w:r>
        <w:t xml:space="preserve">in</w:t>
      </w:r>
      <w:r>
        <w:t xml:space="preserve"> </w:t>
      </w:r>
      <w:r>
        <w:rPr>
          <w:rStyle w:val="VerbatimChar"/>
        </w:rPr>
        <w:t xml:space="preserve">1.14.dat</w:t>
      </w:r>
      <w:r>
        <w:t xml:space="preserve"> </w:t>
      </w:r>
      <w:r>
        <w:t xml:space="preserve">and assumptions introduced through the</w:t>
      </w:r>
      <w:r>
        <w:t xml:space="preserve"> </w:t>
      </w:r>
      <w:r>
        <w:rPr>
          <w:rStyle w:val="VerbatimChar"/>
        </w:rPr>
        <w:t xml:space="preserve">h1_1.14.ctl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h2_1.14.ctl</w:t>
      </w:r>
      <w:r>
        <w:t xml:space="preserve"> </w:t>
      </w:r>
      <w:r>
        <w:t xml:space="preserve">control files. This distinction matters because some biological</w:t>
      </w:r>
      <w:r>
        <w:t xml:space="preserve"> </w:t>
      </w:r>
      <w:r>
        <w:t xml:space="preserve">quantities are common to both stock hypotheses, while others differ by stock</w:t>
      </w:r>
      <w:r>
        <w:t xml:space="preserve"> </w:t>
      </w:r>
      <w:r>
        <w:t xml:space="preserve">hypothesis.</w:t>
      </w:r>
      <w:r>
        <w:t xml:space="preserve"> </w:t>
      </w:r>
      <w:hyperlink w:anchor="tbl-model-data">
        <w:r>
          <w:rPr>
            <w:rStyle w:val="Hyperlink"/>
          </w:rPr>
          <w:t xml:space="preserve">Table 2</w:t>
        </w:r>
      </w:hyperlink>
      <w:r>
        <w:t xml:space="preserve"> </w:t>
      </w:r>
      <w:r>
        <w:t xml:space="preserve">summarizes the principal dimensions and named data</w:t>
      </w:r>
      <w:r>
        <w:t xml:space="preserve"> </w:t>
      </w:r>
      <w:r>
        <w:t xml:space="preserve">components in the common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 </w:t>
      </w:r>
      <w:r>
        <w:t xml:space="preserve">data file.</w:t>
      </w:r>
    </w:p>
    <w:bookmarkEnd w:id="15"/>
    <w:bookmarkStart w:id="52" w:name="analyses"/>
    <w:p>
      <w:pPr>
        <w:pStyle w:val="Heading1"/>
      </w:pPr>
      <w:r>
        <w:t xml:space="preserve">3. Analyses</w:t>
      </w:r>
    </w:p>
    <w:p>
      <w:pPr>
        <w:pStyle w:val="FirstParagraph"/>
      </w:pPr>
      <w:r>
        <w:rPr>
          <w:b/>
          <w:bCs/>
        </w:rPr>
        <w:t xml:space="preserve">8.</w:t>
      </w:r>
      <w:r>
        <w:t xml:space="preserve"> </w:t>
      </w:r>
      <w:r>
        <w:t xml:space="preserve">The analyses below are placeholders for reproducible checks against the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 </w:t>
      </w:r>
      <w:r>
        <w:t xml:space="preserve">files. They are intentionally organized around the three biological data</w:t>
      </w:r>
      <w:r>
        <w:t xml:space="preserve"> </w:t>
      </w:r>
      <w:r>
        <w:t xml:space="preserve">questions requested for this working paper.</w:t>
      </w:r>
    </w:p>
    <w:bookmarkStart w:id="17" w:name="natural-mortality"/>
    <w:p>
      <w:pPr>
        <w:pStyle w:val="Heading2"/>
      </w:pPr>
      <w:r>
        <w:t xml:space="preserve">3.1 Natural mortality</w:t>
      </w:r>
    </w:p>
    <w:p>
      <w:pPr>
        <w:pStyle w:val="FirstParagraph"/>
      </w:pPr>
      <w:r>
        <w:rPr>
          <w:b/>
          <w:bCs/>
        </w:rPr>
        <w:t xml:space="preserve">9.</w:t>
      </w:r>
      <w:r>
        <w:t xml:space="preserve"> </w:t>
      </w:r>
      <w:r>
        <w:t xml:space="preserve">Natural mortality is configured in the control files under</w:t>
      </w:r>
      <w:r>
        <w:t xml:space="preserve"> </w:t>
      </w:r>
      <w:r>
        <w:rPr>
          <w:rStyle w:val="VerbatimChar"/>
        </w:rPr>
        <w:t xml:space="preserve">#N_Mort</w:t>
      </w:r>
      <w:r>
        <w:t xml:space="preserve">. The</w:t>
      </w:r>
      <w:r>
        <w:t xml:space="preserve"> </w:t>
      </w:r>
      <w:r>
        <w:t xml:space="preserve">single-stock model uses one natural mortality value, while the two-stock model</w:t>
      </w:r>
      <w:r>
        <w:t xml:space="preserve"> </w:t>
      </w:r>
      <w:r>
        <w:t xml:space="preserve">may assign stock-specific values. These configured values are shown in</w:t>
      </w:r>
      <w:r>
        <w:t xml:space="preserve"> </w:t>
      </w:r>
      <w:hyperlink w:anchor="tbl-natural-mortality">
        <w:r>
          <w:rPr>
            <w:rStyle w:val="Hyperlink"/>
          </w:rPr>
          <w:t xml:space="preserve">Table 3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16" w:name="tbl-natural-mortalit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3: Natural mortality values configured for the model 1.14 stock hypotheses.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</w:pP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natural_mortality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h1_1.14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0.28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0.28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0.33</w:t>
                  </w:r>
                </w:p>
              </w:tc>
            </w:tr>
          </w:tbl>
          <w:bookmarkEnd w:id="16"/>
          <w:p/>
        </w:tc>
      </w:tr>
    </w:tbl>
    <w:p>
      <w:pPr>
        <w:pStyle w:val="BodyText"/>
      </w:pPr>
      <w:r>
        <w:rPr>
          <w:b/>
          <w:bCs/>
        </w:rPr>
        <w:t xml:space="preserve">10.</w:t>
      </w:r>
      <w:r>
        <w:t xml:space="preserve"> </w:t>
      </w:r>
      <w:r>
        <w:t xml:space="preserve">Items to evaluate:</w:t>
      </w:r>
    </w:p>
    <w:p>
      <w:pPr>
        <w:pStyle w:val="Compact"/>
        <w:numPr>
          <w:ilvl w:val="0"/>
          <w:numId w:val="1001"/>
        </w:numPr>
      </w:pPr>
      <w:r>
        <w:t xml:space="preserve">Whether the assumed values are consistent with the biological basis used in</w:t>
      </w:r>
      <w:r>
        <w:t xml:space="preserve"> </w:t>
      </w:r>
      <w:r>
        <w:t xml:space="preserve">previous benchmark and annual assessment documents.</w:t>
      </w:r>
    </w:p>
    <w:p>
      <w:pPr>
        <w:pStyle w:val="Compact"/>
        <w:numPr>
          <w:ilvl w:val="0"/>
          <w:numId w:val="1001"/>
        </w:numPr>
      </w:pPr>
      <w:r>
        <w:t xml:space="preserve">Whether stock-specific assumptions in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 </w:t>
      </w:r>
      <w:r>
        <w:t xml:space="preserve">are supported by distinct</w:t>
      </w:r>
      <w:r>
        <w:t xml:space="preserve"> </w:t>
      </w:r>
      <w:r>
        <w:t xml:space="preserve">biological evidence.</w:t>
      </w:r>
    </w:p>
    <w:p>
      <w:pPr>
        <w:pStyle w:val="Compact"/>
        <w:numPr>
          <w:ilvl w:val="0"/>
          <w:numId w:val="1001"/>
        </w:numPr>
      </w:pPr>
      <w:r>
        <w:t xml:space="preserve">How sensitive derived spawning biomass and reference points are to plausible</w:t>
      </w:r>
      <w:r>
        <w:t xml:space="preserve"> </w:t>
      </w:r>
      <w:r>
        <w:t xml:space="preserve">alternatives.</w:t>
      </w:r>
    </w:p>
    <w:bookmarkEnd w:id="17"/>
    <w:bookmarkStart w:id="24" w:name="maturity"/>
    <w:p>
      <w:pPr>
        <w:pStyle w:val="Heading2"/>
      </w:pPr>
      <w:r>
        <w:t xml:space="preserve">3.2 Maturity</w:t>
      </w:r>
    </w:p>
    <w:p>
      <w:pPr>
        <w:pStyle w:val="FirstParagraph"/>
      </w:pPr>
      <w:r>
        <w:rPr>
          <w:b/>
          <w:bCs/>
        </w:rPr>
        <w:t xml:space="preserve">11.</w:t>
      </w:r>
      <w:r>
        <w:t xml:space="preserve"> </w:t>
      </w:r>
      <w:r>
        <w:t xml:space="preserve">Maturity-at-age is configured in the control files under</w:t>
      </w:r>
      <w:r>
        <w:t xml:space="preserve"> </w:t>
      </w:r>
      <w:r>
        <w:rPr>
          <w:rStyle w:val="VerbatimChar"/>
        </w:rPr>
        <w:t xml:space="preserve">#Pmatatage</w:t>
      </w:r>
      <w:r>
        <w:t xml:space="preserve">. The</w:t>
      </w:r>
      <w:r>
        <w:t xml:space="preserve"> </w:t>
      </w:r>
      <w:r>
        <w:t xml:space="preserve">review should check whether the schedule is common or stock-specific, whether</w:t>
      </w:r>
      <w:r>
        <w:t xml:space="preserve"> </w:t>
      </w:r>
      <w:r>
        <w:t xml:space="preserve">age-1 partial maturity remains defensible, and whether the schedule aligns with</w:t>
      </w:r>
      <w:r>
        <w:t xml:space="preserve"> </w:t>
      </w:r>
      <w:r>
        <w:t xml:space="preserve">the biological source material used by the assessment.</w:t>
      </w:r>
    </w:p>
    <w:p>
      <w:pPr>
        <w:pStyle w:val="BodyText"/>
      </w:pPr>
      <w:r>
        <w:rPr>
          <w:b/>
          <w:bCs/>
        </w:rPr>
        <w:t xml:space="preserve">12.</w:t>
      </w:r>
      <w:r>
        <w:t xml:space="preserve"> </w:t>
      </w:r>
      <w:r>
        <w:t xml:space="preserve">In the JJM, maturity enters spawning biomass through a maturity-weighted</w:t>
      </w:r>
      <w:r>
        <w:t xml:space="preserve"> </w:t>
      </w:r>
      <w:r>
        <w:t xml:space="preserve">population weight-at-age vector. For stock</w:t>
      </w:r>
      <w:r>
        <w:t xml:space="preserve"> </w:t>
      </w:r>
      <m:oMath>
        <m:r>
          <m:t>s</m:t>
        </m:r>
      </m:oMath>
      <w:r>
        <w:t xml:space="preserve">, year</w:t>
      </w:r>
      <w:r>
        <w:t xml:space="preserve"> </w:t>
      </w:r>
      <m:oMath>
        <m:r>
          <m:t>y</m:t>
        </m:r>
      </m:oMath>
      <w:r>
        <w:t xml:space="preserve">, and age</w:t>
      </w:r>
      <w:r>
        <w:t xml:space="preserve"> </w:t>
      </w:r>
      <m:oMath>
        <m:r>
          <m:t>a</m:t>
        </m:r>
      </m:oMath>
      <w:r>
        <w:t xml:space="preserve">, spawning</w:t>
      </w:r>
      <w:r>
        <w:t xml:space="preserve"> </w:t>
      </w:r>
      <w:r>
        <w:t xml:space="preserve">biomass is computed as</w:t>
      </w:r>
    </w:p>
    <w:p>
      <w:pPr>
        <w:pStyle w:val="BodyText"/>
      </w:pPr>
      <w:r>
        <w:rPr>
          <w:b/>
          <w:bCs/>
        </w:rPr>
        <w:t xml:space="preserve">13.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r>
            <m:t>S</m:t>
          </m:r>
          <m:sSub>
            <m:e>
              <m:r>
                <m:t>B</m:t>
              </m:r>
            </m:e>
            <m:sub>
              <m:r>
                <m:t>s</m:t>
              </m:r>
              <m:r>
                <m:rPr>
                  <m:sty m:val="p"/>
                </m:rPr>
                <m:t>,</m:t>
              </m:r>
              <m:r>
                <m:t>y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a</m:t>
              </m:r>
            </m:sub>
            <m:sup>
              <m:r>
                <m:t>​</m:t>
              </m:r>
            </m:sup>
            <m:e>
              <m:sSub>
                <m:e>
                  <m:r>
                    <m:t>N</m:t>
                  </m:r>
                </m:e>
                <m:sub>
                  <m:r>
                    <m:t>s</m:t>
                  </m:r>
                  <m:r>
                    <m:rPr>
                      <m:sty m:val="p"/>
                    </m:rPr>
                    <m:t>,</m:t>
                  </m:r>
                  <m:r>
                    <m:t>y</m:t>
                  </m:r>
                  <m:r>
                    <m:rPr>
                      <m:sty m:val="p"/>
                    </m:rPr>
                    <m:t>,</m:t>
                  </m:r>
                  <m:r>
                    <m:t>a</m:t>
                  </m:r>
                </m:sub>
              </m:sSub>
            </m:e>
          </m:nary>
          <m:sSubSup>
            <m:e>
              <m:r>
                <m:t>S</m:t>
              </m:r>
            </m:e>
            <m:sub>
              <m:r>
                <m:t>s</m:t>
              </m:r>
              <m:r>
                <m:rPr>
                  <m:sty m:val="p"/>
                </m:rPr>
                <m:t>,</m:t>
              </m:r>
              <m:r>
                <m:t>y</m:t>
              </m:r>
              <m:r>
                <m:rPr>
                  <m:sty m:val="p"/>
                </m:rPr>
                <m:t>,</m:t>
              </m:r>
              <m:r>
                <m:t>a</m:t>
              </m:r>
            </m:sub>
            <m:sup>
              <m:r>
                <m:rPr>
                  <m:sty m:val="p"/>
                </m:rPr>
                <m:t>(</m:t>
              </m:r>
              <m:sSub>
                <m:e>
                  <m:r>
                    <m:t>m</m:t>
                  </m:r>
                </m:e>
                <m:sub>
                  <m:r>
                    <m:rPr>
                      <m:sty m:val="p"/>
                    </m:rPr>
                    <m:t>s</m:t>
                  </m:r>
                  <m:r>
                    <m:rPr>
                      <m:sty m:val="p"/>
                    </m:rPr>
                    <m:t>p</m:t>
                  </m:r>
                  <m:r>
                    <m:rPr>
                      <m:sty m:val="p"/>
                    </m:rPr>
                    <m:t>a</m:t>
                  </m:r>
                  <m:r>
                    <m:rPr>
                      <m:sty m:val="p"/>
                    </m:rPr>
                    <m:t>w</m:t>
                  </m:r>
                  <m:r>
                    <m:rPr>
                      <m:sty m:val="p"/>
                    </m:rPr>
                    <m:t>n</m:t>
                  </m:r>
                </m:sub>
              </m:sSub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/</m:t>
              </m:r>
              <m:r>
                <m:t>12</m:t>
              </m:r>
            </m:sup>
          </m:sSubSup>
          <m:sSubSup>
            <m:e>
              <m:r>
                <m:t>w</m:t>
              </m:r>
            </m:e>
            <m:sub>
              <m:r>
                <m:t>s</m:t>
              </m:r>
              <m:r>
                <m:rPr>
                  <m:sty m:val="p"/>
                </m:rPr>
                <m:t>,</m:t>
              </m:r>
              <m:r>
                <m:t>a</m:t>
              </m:r>
            </m:sub>
            <m:sup>
              <m:r>
                <m:rPr>
                  <m:sty m:val="p"/>
                </m:rPr>
                <m:t>p</m:t>
              </m:r>
              <m:r>
                <m:rPr>
                  <m:sty m:val="p"/>
                </m:rPr>
                <m:t>o</m:t>
              </m:r>
              <m:r>
                <m:rPr>
                  <m:sty m:val="p"/>
                </m:rPr>
                <m:t>p</m:t>
              </m:r>
            </m:sup>
          </m:sSubSup>
          <m:sSubSup>
            <m:e>
              <m:r>
                <m:t>p</m:t>
              </m:r>
            </m:e>
            <m:sub>
              <m:r>
                <m:t>s</m:t>
              </m:r>
              <m:r>
                <m:rPr>
                  <m:sty m:val="p"/>
                </m:rPr>
                <m:t>,</m:t>
              </m:r>
              <m:r>
                <m:t>a</m:t>
              </m:r>
            </m:sub>
            <m:sup>
              <m:r>
                <m:rPr>
                  <m:sty m:val="p"/>
                </m:rPr>
                <m:t>m</m:t>
              </m:r>
              <m:r>
                <m:rPr>
                  <m:sty m:val="p"/>
                </m:rPr>
                <m:t>a</m:t>
              </m:r>
              <m:r>
                <m:rPr>
                  <m:sty m:val="p"/>
                </m:rPr>
                <m:t>t</m:t>
              </m:r>
            </m:sup>
          </m:sSubSup>
          <m:r>
            <m:rPr>
              <m:sty m:val="p"/>
            </m:rPr>
            <m:t>,</m:t>
          </m:r>
        </m:oMath>
      </m:oMathPara>
    </w:p>
    <w:p>
      <w:pPr>
        <w:pStyle w:val="FirstParagraph"/>
      </w:pPr>
      <w:r>
        <w:rPr>
          <w:b/>
          <w:bCs/>
        </w:rPr>
        <w:t xml:space="preserve">14.</w:t>
      </w:r>
      <w:r>
        <w:t xml:space="preserve"> </w:t>
      </w:r>
      <w:r>
        <w:t xml:space="preserve">where</w:t>
      </w:r>
      <w:r>
        <w:t xml:space="preserve"> </w:t>
      </w:r>
      <m:oMath>
        <m:sSub>
          <m:e>
            <m:r>
              <m:t>N</m:t>
            </m:r>
          </m:e>
          <m:sub>
            <m:r>
              <m:t>s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a</m:t>
            </m:r>
          </m:sub>
        </m:sSub>
      </m:oMath>
      <w:r>
        <w:t xml:space="preserve"> </w:t>
      </w:r>
      <w:r>
        <w:t xml:space="preserve">is numbers-at-age at the start of year,</w:t>
      </w:r>
      <w:r>
        <w:t xml:space="preserve"> </w:t>
      </w:r>
      <m:oMath>
        <m:sSub>
          <m:e>
            <m:r>
              <m:t>S</m:t>
            </m:r>
          </m:e>
          <m:sub>
            <m:r>
              <m:t>s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a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exp</m:t>
        </m:r>
        <m:r>
          <m:rPr>
            <m:sty m:val="p"/>
          </m:rPr>
          <m:t>(</m:t>
        </m:r>
        <m:r>
          <m:rPr>
            <m:sty m:val="p"/>
          </m:rPr>
          <m:t>−</m:t>
        </m:r>
        <m:sSub>
          <m:e>
            <m:r>
              <m:t>Z</m:t>
            </m:r>
          </m:e>
          <m:sub>
            <m:r>
              <m:t>s</m:t>
            </m:r>
            <m:r>
              <m:rPr>
                <m:sty m:val="p"/>
              </m:rPr>
              <m:t>,</m:t>
            </m:r>
            <m:r>
              <m:t>y</m:t>
            </m:r>
            <m:r>
              <m:rPr>
                <m:sty m:val="p"/>
              </m:rPr>
              <m:t>,</m:t>
            </m:r>
            <m:r>
              <m:t>a</m:t>
            </m:r>
          </m:sub>
        </m:sSub>
        <m:r>
          <m:rPr>
            <m:sty m:val="p"/>
          </m:rPr>
          <m:t>)</m:t>
        </m:r>
      </m:oMath>
      <w:r>
        <w:t xml:space="preserve"> </w:t>
      </w:r>
      <w:r>
        <w:t xml:space="preserve">is annual survival,</w:t>
      </w:r>
      <w:r>
        <w:t xml:space="preserve"> </w:t>
      </w:r>
      <m:oMath>
        <m:sSub>
          <m:e>
            <m:r>
              <m:t>m</m:t>
            </m:r>
          </m:e>
          <m:sub>
            <m:r>
              <m:rPr>
                <m:sty m:val="p"/>
              </m:rPr>
              <m:t>s</m:t>
            </m:r>
            <m:r>
              <m:rPr>
                <m:sty m:val="p"/>
              </m:rPr>
              <m:t>p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w</m:t>
            </m:r>
            <m:r>
              <m:rPr>
                <m:sty m:val="p"/>
              </m:rPr>
              <m:t>n</m:t>
            </m:r>
          </m:sub>
        </m:sSub>
      </m:oMath>
      <w:r>
        <w:t xml:space="preserve"> </w:t>
      </w:r>
      <w:r>
        <w:t xml:space="preserve">is the spawning</w:t>
      </w:r>
      <w:r>
        <w:t xml:space="preserve"> </w:t>
      </w:r>
      <w:r>
        <w:t xml:space="preserve">month from</w:t>
      </w:r>
      <w:r>
        <w:t xml:space="preserve"> </w:t>
      </w:r>
      <w:r>
        <w:rPr>
          <w:rStyle w:val="VerbatimChar"/>
        </w:rPr>
        <w:t xml:space="preserve">#Pspwn</w:t>
      </w:r>
      <w:r>
        <w:t xml:space="preserve"> </w:t>
      </w:r>
      <w:r>
        <w:t xml:space="preserve">in the data file,</w:t>
      </w:r>
      <w:r>
        <w:t xml:space="preserve"> </w:t>
      </w:r>
      <m:oMath>
        <m:sSubSup>
          <m:e>
            <m:r>
              <m:t>w</m:t>
            </m:r>
          </m:e>
          <m:sub>
            <m:r>
              <m:t>s</m:t>
            </m:r>
            <m:r>
              <m:rPr>
                <m:sty m:val="p"/>
              </m:rPr>
              <m:t>,</m:t>
            </m:r>
            <m:r>
              <m:t>a</m:t>
            </m:r>
          </m:sub>
          <m:sup>
            <m:r>
              <m:rPr>
                <m:sty m:val="p"/>
              </m:rPr>
              <m:t>p</m:t>
            </m:r>
            <m:r>
              <m:rPr>
                <m:sty m:val="p"/>
              </m:rPr>
              <m:t>o</m:t>
            </m:r>
            <m:r>
              <m:rPr>
                <m:sty m:val="p"/>
              </m:rPr>
              <m:t>p</m:t>
            </m:r>
          </m:sup>
        </m:sSubSup>
      </m:oMath>
      <w:r>
        <w:t xml:space="preserve"> </w:t>
      </w:r>
      <w:r>
        <w:t xml:space="preserve">is the</w:t>
      </w:r>
      <w:r>
        <w:t xml:space="preserve"> </w:t>
      </w:r>
      <w:r>
        <w:t xml:space="preserve">population weight-at-age from</w:t>
      </w:r>
      <w:r>
        <w:t xml:space="preserve"> </w:t>
      </w:r>
      <w:r>
        <w:rPr>
          <w:rStyle w:val="VerbatimChar"/>
        </w:rPr>
        <w:t xml:space="preserve">#Pwtatage</w:t>
      </w:r>
      <w:r>
        <w:t xml:space="preserve">, and</w:t>
      </w:r>
      <w:r>
        <w:t xml:space="preserve"> </w:t>
      </w:r>
      <m:oMath>
        <m:sSubSup>
          <m:e>
            <m:r>
              <m:t>p</m:t>
            </m:r>
          </m:e>
          <m:sub>
            <m:r>
              <m:t>s</m:t>
            </m:r>
            <m:r>
              <m:rPr>
                <m:sty m:val="p"/>
              </m:rPr>
              <m:t>,</m:t>
            </m:r>
            <m:r>
              <m:t>a</m:t>
            </m:r>
          </m:sub>
          <m:sup>
            <m:r>
              <m:rPr>
                <m:sty m:val="p"/>
              </m:rPr>
              <m:t>m</m:t>
            </m:r>
            <m:r>
              <m:rPr>
                <m:sty m:val="p"/>
              </m:rPr>
              <m:t>a</m:t>
            </m:r>
            <m:r>
              <m:rPr>
                <m:sty m:val="p"/>
              </m:rPr>
              <m:t>t</m:t>
            </m:r>
          </m:sup>
        </m:sSubSup>
      </m:oMath>
      <w:r>
        <w:t xml:space="preserve"> </w:t>
      </w:r>
      <w:r>
        <w:t xml:space="preserve">is</w:t>
      </w:r>
      <w:r>
        <w:t xml:space="preserve"> </w:t>
      </w:r>
      <w:r>
        <w:t xml:space="preserve">maturity-at-age from</w:t>
      </w:r>
      <w:r>
        <w:t xml:space="preserve"> </w:t>
      </w:r>
      <w:r>
        <w:rPr>
          <w:rStyle w:val="VerbatimChar"/>
        </w:rPr>
        <w:t xml:space="preserve">#Pmatatage</w:t>
      </w:r>
      <w:r>
        <w:t xml:space="preserve">. For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,</w:t>
      </w:r>
      <w:r>
        <w:t xml:space="preserve"> </w:t>
      </w:r>
      <w:r>
        <w:rPr>
          <w:rStyle w:val="VerbatimChar"/>
        </w:rPr>
        <w:t xml:space="preserve">#Pspwn</w:t>
      </w:r>
      <w:r>
        <w:t xml:space="preserve"> </w:t>
      </w:r>
      <w:r>
        <w:t xml:space="preserve">is 10.5, so the</w:t>
      </w:r>
      <w:r>
        <w:t xml:space="preserve"> </w:t>
      </w:r>
      <w:r>
        <w:t xml:space="preserve">spawning calculation occurs after</w:t>
      </w:r>
      <w:r>
        <w:t xml:space="preserve"> </w:t>
      </w:r>
      <m:oMath>
        <m:r>
          <m:rPr>
            <m:sty m:val="p"/>
          </m:rPr>
          <m:t>(</m:t>
        </m:r>
        <m:r>
          <m:t>10.5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)</m:t>
        </m:r>
        <m:r>
          <m:rPr>
            <m:sty m:val="p"/>
          </m:rPr>
          <m:t>/</m:t>
        </m:r>
        <m:r>
          <m:t>12</m:t>
        </m:r>
        <m:r>
          <m:rPr>
            <m:sty m:val="p"/>
          </m:rPr>
          <m:t>=</m:t>
        </m:r>
        <m:r>
          <m:t>0.792</m:t>
        </m:r>
      </m:oMath>
      <w:r>
        <w:t xml:space="preserve"> </w:t>
      </w:r>
      <w:r>
        <w:t xml:space="preserve">of annual mortality</w:t>
      </w:r>
      <w:r>
        <w:t xml:space="preserve"> </w:t>
      </w:r>
      <w:r>
        <w:t xml:space="preserve">has occurred.</w:t>
      </w:r>
    </w:p>
    <w:p>
      <w:pPr>
        <w:pStyle w:val="BodyText"/>
      </w:pPr>
      <w:r>
        <w:rPr>
          <w:b/>
          <w:bCs/>
        </w:rPr>
        <w:t xml:space="preserve">15.</w:t>
      </w:r>
      <w:r>
        <w:t xml:space="preserve"> </w:t>
      </w:r>
      <w:r>
        <w:t xml:space="preserve">The weight-at-age used in this equation is the stock-specific population</w:t>
      </w:r>
      <w:r>
        <w:t xml:space="preserve"> </w:t>
      </w:r>
      <w:r>
        <w:t xml:space="preserve">weight-at-age in the control file. It is fixed through time within each stock.</w:t>
      </w:r>
      <w:r>
        <w:t xml:space="preserve"> </w:t>
      </w:r>
      <w:r>
        <w:t xml:space="preserve">The time-varying fishery and index weight-at-age arrays in</w:t>
      </w:r>
      <w:r>
        <w:t xml:space="preserve"> </w:t>
      </w:r>
      <w:r>
        <w:rPr>
          <w:rStyle w:val="VerbatimChar"/>
        </w:rPr>
        <w:t xml:space="preserve">1.14.dat</w:t>
      </w:r>
      <w:r>
        <w:t xml:space="preserve"> </w:t>
      </w:r>
      <w:r>
        <w:t xml:space="preserve">(</w:t>
      </w:r>
      <w:r>
        <w:rPr>
          <w:rStyle w:val="VerbatimChar"/>
        </w:rPr>
        <w:t xml:space="preserve">Fwtatage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Iwtatage</w:t>
      </w:r>
      <w:r>
        <w:t xml:space="preserve">) are used for predicted catch and index biomass, not</w:t>
      </w:r>
      <w:r>
        <w:t xml:space="preserve"> </w:t>
      </w:r>
      <w:r>
        <w:t xml:space="preserve">for spawning biomass.</w:t>
      </w:r>
    </w:p>
    <w:p>
      <w:pPr>
        <w:pStyle w:val="BodyText"/>
      </w:pPr>
      <w:r>
        <w:rPr>
          <w:b/>
          <w:bCs/>
        </w:rPr>
        <w:t xml:space="preserve">16.</w:t>
      </w:r>
      <w:r>
        <w:t xml:space="preserve"> </w:t>
      </w:r>
      <w:r>
        <w:t xml:space="preserve">For the two-stock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 </w:t>
      </w:r>
      <w:r>
        <w:t xml:space="preserve">model, the corresponding unfished spawning biomass</w:t>
      </w:r>
      <w:r>
        <w:t xml:space="preserve"> </w:t>
      </w:r>
      <w:r>
        <w:t xml:space="preserve">per recruit, multiplied by 1000, is 1597.8 for Stock 1 and 1367.3 for Stock 2.</w:t>
      </w:r>
      <w:r>
        <w:t xml:space="preserve"> </w:t>
      </w:r>
      <w:r>
        <w:t xml:space="preserve">These values use the stock-specific natural mortality, maturity-at-age, and</w:t>
      </w:r>
      <w:r>
        <w:t xml:space="preserve"> </w:t>
      </w:r>
      <w:r>
        <w:t xml:space="preserve">population weight-at-age schedules in</w:t>
      </w:r>
      <w:r>
        <w:t xml:space="preserve"> </w:t>
      </w:r>
      <w:r>
        <w:rPr>
          <w:rStyle w:val="VerbatimChar"/>
        </w:rPr>
        <w:t xml:space="preserve">h2_1.14.ctl</w:t>
      </w:r>
      <w:r>
        <w:t xml:space="preserve">, with spawning at month</w:t>
      </w:r>
      <w:r>
        <w:t xml:space="preserve"> </w:t>
      </w:r>
      <w:r>
        <w:t xml:space="preserve">10.5 and the age-12 plus group.</w:t>
      </w:r>
      <w:r>
        <w:t xml:space="preserve"> </w:t>
      </w:r>
      <w:r>
        <w:t xml:space="preserve">The age-specific contribution to those two values is shown in</w:t>
      </w:r>
      <w:r>
        <w:t xml:space="preserve"> </w:t>
      </w:r>
      <w:hyperlink w:anchor="fig-h2-sbpr-at-age">
        <w:r>
          <w:rPr>
            <w:rStyle w:val="Hyperlink"/>
          </w:rPr>
          <w:t xml:space="preserve">Figure 1</w:t>
        </w:r>
      </w:hyperlink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1" w:name="fig-h2-sbpr-at-age"/>
          <w:p>
            <w:pPr>
              <w:pStyle w:val="Compact"/>
              <w:jc w:val="center"/>
            </w:pPr>
            <w:r>
              <w:drawing>
                <wp:inline>
                  <wp:extent cx="5334000" cy="3048000"/>
                  <wp:effectExtent b="0" l="0" r="0" t="0"/>
                  <wp:docPr descr="" title="" id="19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h2-sbpr-at-age-1.png" id="2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1: Age-specific spawning biomass per recruit for the two stocks in h2_1.14, multiplied by 1000.</w:t>
            </w:r>
          </w:p>
          <w:bookmarkEnd w:id="21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2" w:name="tbl-maturity-preview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4: Maturity-at-age vectors read from the h2_1.14 control file.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0.52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0.37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1.00</w:t>
                  </w:r>
                </w:p>
              </w:tc>
            </w:tr>
          </w:tbl>
          <w:bookmarkEnd w:id="22"/>
          <w:p/>
        </w:tc>
      </w:tr>
    </w:tbl>
    <w:p>
      <w:pPr>
        <w:pStyle w:val="BodyText"/>
      </w:pPr>
      <w:r>
        <w:rPr>
          <w:b/>
          <w:bCs/>
        </w:rPr>
        <w:t xml:space="preserve">17.</w:t>
      </w:r>
      <w:r>
        <w:t xml:space="preserve"> </w:t>
      </w:r>
      <w:r>
        <w:t xml:space="preserve">The maturity-at-age schedules used in the spawning biomass calculation are</w:t>
      </w:r>
      <w:r>
        <w:t xml:space="preserve"> </w:t>
      </w:r>
      <w:r>
        <w:t xml:space="preserve">listed by stock for the two-stock model in</w:t>
      </w:r>
      <w:r>
        <w:t xml:space="preserve"> </w:t>
      </w:r>
      <w:hyperlink w:anchor="tbl-maturity-preview">
        <w:r>
          <w:rPr>
            <w:rStyle w:val="Hyperlink"/>
          </w:rPr>
          <w:t xml:space="preserve">Table 4</w:t>
        </w:r>
      </w:hyperlink>
      <w:r>
        <w:t xml:space="preserve">. The</w:t>
      </w:r>
      <w:r>
        <w:t xml:space="preserve"> </w:t>
      </w:r>
      <w:r>
        <w:t xml:space="preserve">single-stock model uses the same maturity schedule as Stock 1 in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3" w:name="tbl-ssb-weight-at-ag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5: Population weight-at-age used with maturity-at-age in the h2_1.14 spawning biomass equation.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population_weight_at_age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0.1815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0.2303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0.3025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0.3820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0.5268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0.7345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0.9226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1.1060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1.3435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1.5135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1.6205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1.8285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0.0380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0.1460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0.3240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0.5550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0.8190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1.1000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1.3840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1.6600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1.9220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2.1650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2.3870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2.5880</w:t>
                  </w:r>
                </w:p>
              </w:tc>
            </w:tr>
          </w:tbl>
          <w:bookmarkEnd w:id="23"/>
          <w:p/>
        </w:tc>
      </w:tr>
    </w:tbl>
    <w:p>
      <w:pPr>
        <w:pStyle w:val="BodyText"/>
      </w:pPr>
      <w:r>
        <w:rPr>
          <w:b/>
          <w:bCs/>
        </w:rPr>
        <w:t xml:space="preserve">18.</w:t>
      </w:r>
      <w:r>
        <w:t xml:space="preserve"> </w:t>
      </w:r>
      <w:r>
        <w:t xml:space="preserve">The population weight-at-age vectors paired with maturity in the spawning</w:t>
      </w:r>
      <w:r>
        <w:t xml:space="preserve"> </w:t>
      </w:r>
      <w:r>
        <w:t xml:space="preserve">biomass equation are shown for the two-stock model in</w:t>
      </w:r>
      <w:r>
        <w:t xml:space="preserve"> </w:t>
      </w:r>
      <w:hyperlink w:anchor="tbl-ssb-weight-at-age">
        <w:r>
          <w:rPr>
            <w:rStyle w:val="Hyperlink"/>
          </w:rPr>
          <w:t xml:space="preserve">Table 5</w:t>
        </w:r>
      </w:hyperlink>
      <w:r>
        <w:t xml:space="preserve">.</w:t>
      </w:r>
      <w:r>
        <w:t xml:space="preserve"> </w:t>
      </w:r>
      <w:r>
        <w:t xml:space="preserve">Again, the single-stock model uses the same vector as Stock 1 in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.</w:t>
      </w:r>
    </w:p>
    <w:bookmarkEnd w:id="24"/>
    <w:bookmarkStart w:id="51" w:name="weight-at-age"/>
    <w:p>
      <w:pPr>
        <w:pStyle w:val="Heading2"/>
      </w:pPr>
      <w:r>
        <w:t xml:space="preserve">3.3 Weight-at-age</w:t>
      </w:r>
    </w:p>
    <w:p>
      <w:pPr>
        <w:pStyle w:val="FirstParagraph"/>
      </w:pPr>
      <w:r>
        <w:rPr>
          <w:b/>
          <w:bCs/>
        </w:rPr>
        <w:t xml:space="preserve">19.</w:t>
      </w:r>
      <w:r>
        <w:t xml:space="preserve"> </w:t>
      </w:r>
      <w:r>
        <w:t xml:space="preserve">Weight-at-age is the central biological data issue for this working paper</w:t>
      </w:r>
      <w:r>
        <w:t xml:space="preserve"> </w:t>
      </w:r>
      <w:r>
        <w:t xml:space="preserve">because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 </w:t>
      </w:r>
      <w:r>
        <w:t xml:space="preserve">is specifically identified as updating historical</w:t>
      </w:r>
      <w:r>
        <w:t xml:space="preserve"> </w:t>
      </w:r>
      <w:r>
        <w:t xml:space="preserve">weight-at-age for the Far North fleet. The model includes population</w:t>
      </w:r>
      <w:r>
        <w:t xml:space="preserve"> </w:t>
      </w:r>
      <w:r>
        <w:t xml:space="preserve">weight-at-age in the control files and fishery or survey weight-at-age schedules</w:t>
      </w:r>
      <w:r>
        <w:t xml:space="preserve"> </w:t>
      </w:r>
      <w:r>
        <w:t xml:space="preserve">in the data file. The fixed population weight-at-age vectors used for spawning</w:t>
      </w:r>
      <w:r>
        <w:t xml:space="preserve"> </w:t>
      </w:r>
      <w:r>
        <w:t xml:space="preserve">biomass are repeated for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 </w:t>
      </w:r>
      <w:r>
        <w:t xml:space="preserve">in</w:t>
      </w:r>
      <w:r>
        <w:t xml:space="preserve"> </w:t>
      </w:r>
      <w:hyperlink w:anchor="tbl-pop-weight-at-age">
        <w:r>
          <w:rPr>
            <w:rStyle w:val="Hyperlink"/>
          </w:rPr>
          <w:t xml:space="preserve">Table 6</w:t>
        </w:r>
      </w:hyperlink>
      <w:r>
        <w:t xml:space="preserve"> </w:t>
      </w:r>
      <w:r>
        <w:t xml:space="preserve">to separate them</w:t>
      </w:r>
      <w:r>
        <w:t xml:space="preserve"> </w:t>
      </w:r>
      <w:r>
        <w:t xml:space="preserve">from time-varying fishery and index weights-at-age.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5" w:name="tbl-pop-weight-at-age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6: Population weight-at-age vectors read from the h2_1.14 control file.</w:t>
            </w:r>
          </w:p>
          <w:tbl>
            <w:tblPr>
              <w:tblStyle w:val="Table"/>
              <w:tblW w:type="auto" w:w="0"/>
              <w:tblLook w:firstRow="1" w:lastRow="0" w:firstColumn="0" w:lastColumn="0" w:noHBand="0" w:noVBand="0" w:val="0020"/>
            </w:tblPr>
            <w:tblGrid>
              <w:gridCol w:w="1980"/>
              <w:gridCol w:w="1980"/>
              <w:gridCol w:w="1980"/>
              <w:gridCol w:w="1980"/>
            </w:tblGrid>
            <w:tr>
              <w:trPr>
                <w:tblHeader w:val="on"/>
              </w:trP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model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age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value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0.1815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0.2303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0.3025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0.3820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0.5268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0.7345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0.9226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1.1060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1.3435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1.5135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1.6205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1.8285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0.0380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0.1460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3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0.3240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4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0.5550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5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0.8190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6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1.1000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7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1.3840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8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1.6600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9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1.9220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10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2.1650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11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2.3870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h2_1.14</w:t>
                  </w:r>
                </w:p>
              </w:tc>
              <w:tc>
                <w:tcPr/>
                <w:p>
                  <w:pPr>
                    <w:pStyle w:val="Compact"/>
                    <w:jc w:val="left"/>
                    <w:jc w:val="center"/>
                  </w:pPr>
                  <w:r>
                    <w:t xml:space="preserve">Stock2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12</w:t>
                  </w:r>
                </w:p>
              </w:tc>
              <w:tc>
                <w:tcPr/>
                <w:p>
                  <w:pPr>
                    <w:pStyle w:val="Compact"/>
                    <w:jc w:val="right"/>
                    <w:jc w:val="center"/>
                  </w:pPr>
                  <w:r>
                    <w:t xml:space="preserve">2.5880</w:t>
                  </w:r>
                </w:p>
              </w:tc>
            </w:tr>
          </w:tbl>
          <w:bookmarkEnd w:id="25"/>
          <w:p/>
        </w:tc>
      </w:tr>
    </w:tbl>
    <w:p>
      <w:pPr>
        <w:pStyle w:val="BodyText"/>
      </w:pPr>
      <w:r>
        <w:rPr>
          <w:b/>
          <w:bCs/>
        </w:rPr>
        <w:t xml:space="preserve">20.</w:t>
      </w:r>
      <w:r>
        <w:t xml:space="preserve"> </w:t>
      </w:r>
      <w:r>
        <w:t xml:space="preserve">For the single-stock model</w:t>
      </w:r>
      <w:r>
        <w:t xml:space="preserve"> </w:t>
      </w:r>
      <w:r>
        <w:rPr>
          <w:rStyle w:val="VerbatimChar"/>
        </w:rPr>
        <w:t xml:space="preserve">h1_1.14</w:t>
      </w:r>
      <w:r>
        <w:t xml:space="preserve">, correlations among fishery and</w:t>
      </w:r>
      <w:r>
        <w:t xml:space="preserve"> </w:t>
      </w:r>
      <w:r>
        <w:t xml:space="preserve">acoustic-survey weight-at-age sources are generally modest across ages</w:t>
      </w:r>
      <w:r>
        <w:t xml:space="preserve"> </w:t>
      </w:r>
      <w:r>
        <w:t xml:space="preserve">(</w:t>
      </w:r>
      <w:hyperlink w:anchor="tbl-waa-correlation-summary">
        <w:r>
          <w:rPr>
            <w:rStyle w:val="Hyperlink"/>
          </w:rPr>
          <w:t xml:space="preserve">Table 7</w:t>
        </w:r>
      </w:hyperlink>
      <w:r>
        <w:t xml:space="preserve">), with the age pattern shown in</w:t>
      </w:r>
      <w:r>
        <w:t xml:space="preserve"> </w:t>
      </w:r>
      <w:hyperlink w:anchor="fig-waa-correlation-by-age">
        <w:r>
          <w:rPr>
            <w:rStyle w:val="Hyperlink"/>
          </w:rPr>
          <w:t xml:space="preserve">Figure 2</w:t>
        </w:r>
      </w:hyperlink>
      <w:r>
        <w:t xml:space="preserve">. CPUE indices and DEPM are excluded because the CPUE</w:t>
      </w:r>
      <w:r>
        <w:t xml:space="preserve"> </w:t>
      </w:r>
      <w:r>
        <w:t xml:space="preserve">weights-at-age duplicate their associated fishery series and DEPM is omitted</w:t>
      </w:r>
      <w:r>
        <w:t xml:space="preserve"> </w:t>
      </w:r>
      <w:r>
        <w:t xml:space="preserve">here to simplify the source comparison.</w:t>
      </w:r>
      <w:r>
        <w:t xml:space="preserve"> </w:t>
      </w:r>
      <w:r>
        <w:t xml:space="preserve">The annual distributions of weight-at-age from this same reduced source set are</w:t>
      </w:r>
      <w:r>
        <w:t xml:space="preserve"> </w:t>
      </w:r>
      <w:r>
        <w:t xml:space="preserve">shown for ages 1-9 in</w:t>
      </w:r>
      <w:r>
        <w:t xml:space="preserve"> </w:t>
      </w:r>
      <w:hyperlink w:anchor="fig-waa-violin-by-age">
        <w:r>
          <w:rPr>
            <w:rStyle w:val="Hyperlink"/>
          </w:rPr>
          <w:t xml:space="preserve">Figure 3</w:t>
        </w:r>
      </w:hyperlink>
      <w:r>
        <w:t xml:space="preserve">; the plotted points mark the</w:t>
      </w:r>
      <w:r>
        <w:t xml:space="preserve"> </w:t>
      </w:r>
      <w:r>
        <w:t xml:space="preserve">overall mean normalized weight-at-age for each source and age.</w:t>
      </w:r>
      <w:r>
        <w:t xml:space="preserve"> </w:t>
      </w:r>
      <w:r>
        <w:t xml:space="preserve">For age 3, the median cross-source correlation is</w:t>
      </w:r>
      <w:r>
        <w:t xml:space="preserve"> </w:t>
      </w:r>
      <w:r>
        <w:t xml:space="preserve">0.04,</w:t>
      </w:r>
      <w:r>
        <w:t xml:space="preserve"> </w:t>
      </w:r>
      <w:r>
        <w:t xml:space="preserve">with 8</w:t>
      </w:r>
      <w:r>
        <w:t xml:space="preserve"> </w:t>
      </w:r>
      <w:r>
        <w:t xml:space="preserve">negative source pairs out of</w:t>
      </w:r>
      <w:r>
        <w:t xml:space="preserve"> </w:t>
      </w:r>
      <w:r>
        <w:t xml:space="preserve">21 total pairs.</w:t>
      </w:r>
      <w:r>
        <w:t xml:space="preserve"> </w:t>
      </w:r>
      <w:r>
        <w:t xml:space="preserve">The age-3 heatmap in</w:t>
      </w:r>
      <w:r>
        <w:t xml:space="preserve"> </w:t>
      </w:r>
      <w:hyperlink w:anchor="fig-age3-waa-correlation">
        <w:r>
          <w:rPr>
            <w:rStyle w:val="Hyperlink"/>
          </w:rPr>
          <w:t xml:space="preserve">Figure 4</w:t>
        </w:r>
      </w:hyperlink>
      <w:r>
        <w:t xml:space="preserve"> </w:t>
      </w:r>
      <w:r>
        <w:t xml:space="preserve">shows that several high</w:t>
      </w:r>
      <w:r>
        <w:t xml:space="preserve"> </w:t>
      </w:r>
      <w:r>
        <w:t xml:space="preserve">correlations are expected because some data sources share related biological</w:t>
      </w:r>
      <w:r>
        <w:t xml:space="preserve"> </w:t>
      </w:r>
      <w:r>
        <w:t xml:space="preserve">sampling and imputation histories. For age 3,</w:t>
      </w:r>
      <w:r>
        <w:t xml:space="preserve"> </w:t>
      </w:r>
      <w:r>
        <w:rPr>
          <w:rStyle w:val="VerbatimChar"/>
        </w:rPr>
        <w:t xml:space="preserve">FarNorth</w:t>
      </w:r>
      <w:r>
        <w:t xml:space="preserve"> </w:t>
      </w:r>
      <w:r>
        <w:t xml:space="preserve">remains strongly</w:t>
      </w:r>
      <w:r>
        <w:t xml:space="preserve"> </w:t>
      </w:r>
      <w:r>
        <w:t xml:space="preserve">correlated with</w:t>
      </w:r>
      <w:r>
        <w:t xml:space="preserve"> </w:t>
      </w:r>
      <w:r>
        <w:rPr>
          <w:rStyle w:val="VerbatimChar"/>
        </w:rPr>
        <w:t xml:space="preserve">Peru_Acoustic</w:t>
      </w:r>
      <w:r>
        <w:t xml:space="preserve">. The same age-3 source subset is shown as a</w:t>
      </w:r>
      <w:r>
        <w:t xml:space="preserve"> </w:t>
      </w:r>
      <w:r>
        <w:t xml:space="preserve">pairs plot in</w:t>
      </w:r>
      <w:r>
        <w:t xml:space="preserve"> </w:t>
      </w:r>
      <w:hyperlink w:anchor="fig-age3-waa-pairs">
        <w:r>
          <w:rPr>
            <w:rStyle w:val="Hyperlink"/>
          </w:rPr>
          <w:t xml:space="preserve">Figure 5</w:t>
        </w:r>
      </w:hyperlink>
      <w:r>
        <w:t xml:space="preserve">, with pairwise correlations in the upper</w:t>
      </w:r>
      <w:r>
        <w:t xml:space="preserve"> </w:t>
      </w:r>
      <w:r>
        <w:t xml:space="preserve">triangle and smoothed scatterplots in the lower triangle.</w:t>
      </w:r>
      <w:r>
        <w:t xml:space="preserve"> </w:t>
      </w:r>
      <w:r>
        <w:t xml:space="preserve">Age 8 has the highest mean pairwise correlation among the age-specific</w:t>
      </w:r>
      <w:r>
        <w:t xml:space="preserve"> </w:t>
      </w:r>
      <w:r>
        <w:t xml:space="preserve">weight-at-age series in</w:t>
      </w:r>
      <w:r>
        <w:t xml:space="preserve"> </w:t>
      </w:r>
      <w:hyperlink w:anchor="tbl-waa-correlation-summary">
        <w:r>
          <w:rPr>
            <w:rStyle w:val="Hyperlink"/>
          </w:rPr>
          <w:t xml:space="preserve">Table 7</w:t>
        </w:r>
      </w:hyperlink>
      <w:r>
        <w:t xml:space="preserve">; the corresponding</w:t>
      </w:r>
      <w:r>
        <w:t xml:space="preserve"> </w:t>
      </w:r>
      <w:r>
        <w:t xml:space="preserve">correlation heatmap for the same reduced source set is shown in</w:t>
      </w:r>
      <w:r>
        <w:t xml:space="preserve"> </w:t>
      </w:r>
      <w:hyperlink w:anchor="fig-age8-waa-correlation">
        <w:r>
          <w:rPr>
            <w:rStyle w:val="Hyperlink"/>
          </w:rPr>
          <w:t xml:space="preserve">Figure 6</w:t>
        </w:r>
      </w:hyperlink>
      <w:r>
        <w:t xml:space="preserve">. The same age-8 source subset is also shown as a</w:t>
      </w:r>
      <w:r>
        <w:t xml:space="preserve"> </w:t>
      </w:r>
      <w:r>
        <w:t xml:space="preserve">pairs plot in</w:t>
      </w:r>
      <w:r>
        <w:t xml:space="preserve"> </w:t>
      </w:r>
      <w:hyperlink w:anchor="fig-age8-waa-pairs">
        <w:r>
          <w:rPr>
            <w:rStyle w:val="Hyperlink"/>
          </w:rPr>
          <w:t xml:space="preserve">Figure 7</w:t>
        </w:r>
      </w:hyperlink>
      <w:r>
        <w:t xml:space="preserve">, which makes the linearity and outlying years</w:t>
      </w:r>
      <w:r>
        <w:t xml:space="preserve"> </w:t>
      </w:r>
      <w:r>
        <w:t xml:space="preserve">behind the pairwise correlations easier to inspect.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26" w:name="tbl-waa-correlation-summary"/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Table 7: Pairwise correlations among h1_1.14 fishery and acoustic-survey weight-at-age time series, summarized by age. CPUE indices and DEPM are excluded.</w:t>
            </w:r>
          </w:p>
          <w:tbl xmlns:w="http://schemas.openxmlformats.org/wordprocessingml/2006/main" xmlns:wp="http://schemas.openxmlformats.org/drawingml/2006/wordprocessingDrawing" xmlns:r="http://schemas.openxmlformats.org/officeDocument/2006/relationships" xmlns:w14="http://schemas.microsoft.com/office/word/2010/wordml">
            <w:tblPr>
              <w:tblCellMar>
                <w:top w:w="0" w:type="dxa"/>
                <w:bottom w:w="0" w:type="dxa"/>
                <w:start w:w="60" w:type="dxa"/>
                <w:end w:w="60" w:type="dxa"/>
              </w:tblCellMar>
              <w:tblW w:type="auto" w:w="0"/>
              <w:tblLook w:firstRow="0" w:lastRow="0" w:firstColumn="0" w:lastColumn="0" w:noHBand="0" w:noVBand="0"/>
              <w:jc w:val="center"/>
            </w:tblPr>
            <w:tr>
              <w:trPr>
                <w:cantSplit/>
                <w:tblHeader/>
              </w:trPr>
              <w:tc>
                <w:tcPr>
                  <w:tcBorders>
                    <w:top w:val="single" w:sz="16" w:space="0" w:color="D3D3D3"/>
                    <w:bottom w:val="single" w:sz="16" w:space="0" w:color="D3D3D3"/>
                    <w:start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age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mean_correlation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median_correlation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minimum_correlation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maximum_correlation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negative_pairs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pairs_ge_0.7</w:t>
                  </w:r>
                </w:p>
              </w:tc>
              <w:tc>
                <w:tcPr>
                  <w:tcBorders>
                    <w:top w:val="single" w:sz="16" w:space="0" w:color="D3D3D3"/>
                    <w:bottom w:val="single" w:sz="16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pairs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-0.15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0.94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-0.23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0.90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-0.66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-0.54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-0.59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-0.50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7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-0.35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8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-0.32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0.89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-0.30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0.66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9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0.04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-0.21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0.66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-0.22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0.71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5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  <w:tr>
              <w:trPr>
                <w:cantSplit/>
              </w:trPr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12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0.10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0.00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-0.33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0.66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6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0</w:t>
                  </w:r>
                </w:p>
              </w:tc>
              <w:tc>
                <w:tcPr>
                  <w:tcBorders>
                    <w:top w:val="single" w:space="0" w:color="D3D3D3"/>
                    <w:bottom w:val="single" w:space="0" w:color="D3D3D3"/>
                    <w:start w:val="single" w:space="0" w:color="D3D3D3"/>
                    <w:end w:val="single" w:space="0" w:color="D3D3D3"/>
                  </w:tcBorders>
                </w:tcPr>
                <w:p>
                  <w:pPr>
                    <w:spacing w:before="0" w:after="60"/>
                    <w:keepNext/>
                    <w:jc w:val="end"/>
                  </w:pPr>
                  <w:r>
                    <w:rPr>
                      <w:rFonts w:ascii="Calibri" w:hAnsi="Calibri"/>
                      <w:sz w:val="20"/>
                    </w:rPr>
                    <w:t xml:space="default">21</w:t>
                  </w:r>
                </w:p>
              </w:tc>
            </w:tr>
          </w:tbl>
          <w:bookmarkEnd w:id="26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0" w:name="fig-waa-correlation-by-age"/>
          <w:p>
            <w:pPr>
              <w:pStyle w:val="Compact"/>
              <w:jc w:val="center"/>
            </w:pPr>
            <w:r>
              <w:drawing>
                <wp:inline>
                  <wp:extent cx="5334000" cy="3444875"/>
                  <wp:effectExtent b="0" l="0" r="0" t="0"/>
                  <wp:docPr descr="" title="" id="28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waa-correlation-by-age-1.png" id="2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44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2: Mean, median, minimum, and maximum pairwise correlations by age for h1_1.14 fishery and acoustic-survey weight-at-age time series. CPUE indices and DEPM are excluded.</w:t>
            </w:r>
          </w:p>
          <w:bookmarkEnd w:id="30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4" w:name="fig-waa-violin-by-age"/>
          <w:p>
            <w:pPr>
              <w:pStyle w:val="Compact"/>
              <w:jc w:val="center"/>
            </w:pPr>
            <w:r>
              <w:drawing>
                <wp:inline>
                  <wp:extent cx="5334000" cy="4683346"/>
                  <wp:effectExtent b="0" l="0" r="0" t="0"/>
                  <wp:docPr descr="" title="" id="32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waa-violin-by-age-1.png" id="3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6833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3: Annual h1_1.14 weight-at-age distributions for ages 1-9 from the reduced fishery and acoustic-survey source set, normalized by the age-specific mean across all retained sources and years. Violins are filled by source and points show the source-specific means.</w:t>
            </w:r>
          </w:p>
          <w:bookmarkEnd w:id="34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38" w:name="fig-age3-waa-correlation"/>
          <w:p>
            <w:pPr>
              <w:pStyle w:val="Compact"/>
              <w:jc w:val="center"/>
            </w:pPr>
            <w:r>
              <w:drawing>
                <wp:inline>
                  <wp:extent cx="5334000" cy="4513384"/>
                  <wp:effectExtent b="0" l="0" r="0" t="0"/>
                  <wp:docPr descr="" title="" id="36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age3-waa-correlation-1.png" id="37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51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4: Pairwise correlations among h1_1.14 age-3 weight-at-age time series from fishery and acoustic-survey sources. CPUE indices and DEPM are excluded.</w:t>
            </w:r>
          </w:p>
          <w:bookmarkEnd w:id="38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2" w:name="fig-age3-waa-pairs"/>
          <w:p>
            <w:pPr>
              <w:pStyle w:val="Compact"/>
              <w:jc w:val="center"/>
            </w:pPr>
            <w:r>
              <w:drawing>
                <wp:inline>
                  <wp:extent cx="5334000" cy="5334000"/>
                  <wp:effectExtent b="0" l="0" r="0" t="0"/>
                  <wp:docPr descr="" title="" id="40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age3-waa-pairs-1.png" id="4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5: Pairs plot for h1_1.14 age-3 weight-at-age time series from the reduced fishery and acoustic-survey source set. Upper panels show pairwise correlations; lower panels show points and a smoother.</w:t>
            </w:r>
          </w:p>
          <w:bookmarkEnd w:id="42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6" w:name="fig-age8-waa-correlation"/>
          <w:p>
            <w:pPr>
              <w:pStyle w:val="Compact"/>
              <w:jc w:val="center"/>
            </w:pPr>
            <w:r>
              <w:drawing>
                <wp:inline>
                  <wp:extent cx="5334000" cy="4513384"/>
                  <wp:effectExtent b="0" l="0" r="0" t="0"/>
                  <wp:docPr descr="" title="" id="44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age8-waa-correlation-1.png" id="4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5133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6: Pairwise correlations among h1_1.14 age-8 weight-at-age time series from fishery and acoustic-survey sources. CPUE indices and DEPM are excluded.</w:t>
            </w:r>
          </w:p>
          <w:bookmarkEnd w:id="46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0" w:name="fig-age8-waa-pairs"/>
          <w:p>
            <w:pPr>
              <w:pStyle w:val="Compact"/>
              <w:jc w:val="center"/>
            </w:pPr>
            <w:r>
              <w:drawing>
                <wp:inline>
                  <wp:extent cx="5334000" cy="5334000"/>
                  <wp:effectExtent b="0" l="0" r="0" t="0"/>
                  <wp:docPr descr="" title="" id="48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age8-waa-pairs-1.png" id="4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533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7: Pairs plot for h1_1.14 age-8 weight-at-age time series from the reduced fishery and acoustic-survey source set.</w:t>
            </w:r>
          </w:p>
          <w:bookmarkEnd w:id="50"/>
        </w:tc>
      </w:tr>
    </w:tbl>
    <w:p>
      <w:pPr>
        <w:pStyle w:val="BodyText"/>
      </w:pPr>
      <w:r>
        <w:rPr>
          <w:b/>
          <w:bCs/>
        </w:rPr>
        <w:t xml:space="preserve">21.</w:t>
      </w:r>
      <w:r>
        <w:t xml:space="preserve"> </w:t>
      </w:r>
      <w:r>
        <w:t xml:space="preserve">Items to evaluate:</w:t>
      </w:r>
    </w:p>
    <w:p>
      <w:pPr>
        <w:pStyle w:val="Compact"/>
        <w:numPr>
          <w:ilvl w:val="0"/>
          <w:numId w:val="1002"/>
        </w:numPr>
      </w:pPr>
      <w:r>
        <w:t xml:space="preserve">Which</w:t>
      </w:r>
      <w:r>
        <w:t xml:space="preserve"> </w:t>
      </w:r>
      <w:r>
        <w:rPr>
          <w:rStyle w:val="VerbatimChar"/>
        </w:rPr>
        <w:t xml:space="preserve">1.14.dat</w:t>
      </w:r>
      <w:r>
        <w:t xml:space="preserve"> </w:t>
      </w:r>
      <w:r>
        <w:t xml:space="preserve">sections contain Far North fishery and associated index</w:t>
      </w:r>
      <w:r>
        <w:t xml:space="preserve"> </w:t>
      </w:r>
      <w:r>
        <w:t xml:space="preserve">weight-at-age schedules.</w:t>
      </w:r>
    </w:p>
    <w:p>
      <w:pPr>
        <w:pStyle w:val="Compact"/>
        <w:numPr>
          <w:ilvl w:val="0"/>
          <w:numId w:val="1002"/>
        </w:numPr>
      </w:pPr>
      <w:r>
        <w:t xml:space="preserve">How the historical Far North updates differ from model</w:t>
      </w:r>
      <w:r>
        <w:t xml:space="preserve"> </w:t>
      </w:r>
      <w:r>
        <w:rPr>
          <w:rStyle w:val="VerbatimChar"/>
        </w:rPr>
        <w:t xml:space="preserve">1.13</w:t>
      </w:r>
      <w:r>
        <w:t xml:space="preserve">.</w:t>
      </w:r>
    </w:p>
    <w:p>
      <w:pPr>
        <w:pStyle w:val="Compact"/>
        <w:numPr>
          <w:ilvl w:val="0"/>
          <w:numId w:val="1002"/>
        </w:numPr>
      </w:pPr>
      <w:r>
        <w:t xml:space="preserve">Whether population, fishery, and survey weight-at-age schedules are</w:t>
      </w:r>
      <w:r>
        <w:t xml:space="preserve"> </w:t>
      </w:r>
      <w:r>
        <w:t xml:space="preserve">internally consistent.</w:t>
      </w:r>
    </w:p>
    <w:p>
      <w:pPr>
        <w:pStyle w:val="Compact"/>
        <w:numPr>
          <w:ilvl w:val="0"/>
          <w:numId w:val="1002"/>
        </w:numPr>
      </w:pPr>
      <w:r>
        <w:t xml:space="preserve">Whether the updated historical weights change the biological interpretation</w:t>
      </w:r>
      <w:r>
        <w:t xml:space="preserve"> </w:t>
      </w:r>
      <w:r>
        <w:t xml:space="preserve">of catch biomass, spawning biomass, or stock-specific productivity.</w:t>
      </w:r>
    </w:p>
    <w:bookmarkEnd w:id="51"/>
    <w:bookmarkEnd w:id="52"/>
    <w:bookmarkStart w:id="61" w:name="results-and-discussion"/>
    <w:p>
      <w:pPr>
        <w:pStyle w:val="Heading1"/>
      </w:pPr>
      <w:r>
        <w:t xml:space="preserve">4. Results and discussion</w:t>
      </w:r>
    </w:p>
    <w:p>
      <w:pPr>
        <w:pStyle w:val="FirstParagraph"/>
      </w:pPr>
      <w:r>
        <w:rPr>
          <w:b/>
          <w:bCs/>
        </w:rPr>
        <w:t xml:space="preserve">22.</w:t>
      </w:r>
      <w:r>
        <w:t xml:space="preserve"> </w:t>
      </w:r>
      <w:r>
        <w:t xml:space="preserve">This section should synthesize the biological checks rather than repeat the full</w:t>
      </w:r>
      <w:r>
        <w:t xml:space="preserve"> </w:t>
      </w:r>
      <w:r>
        <w:t xml:space="preserve">assessment model description. The expected output is a concise judgement on</w:t>
      </w:r>
      <w:r>
        <w:t xml:space="preserve"> </w:t>
      </w:r>
      <w:r>
        <w:t xml:space="preserve">whether the biological inputs in model</w:t>
      </w:r>
      <w:r>
        <w:t xml:space="preserve"> </w:t>
      </w:r>
      <w:r>
        <w:rPr>
          <w:rStyle w:val="VerbatimChar"/>
        </w:rPr>
        <w:t xml:space="preserve">1.14</w:t>
      </w:r>
      <w:r>
        <w:t xml:space="preserve"> </w:t>
      </w:r>
      <w:r>
        <w:t xml:space="preserve">are internally consistent,</w:t>
      </w:r>
      <w:r>
        <w:t xml:space="preserve"> </w:t>
      </w:r>
      <w:r>
        <w:t xml:space="preserve">adequately documented, and suitable as the basis for the</w:t>
      </w:r>
      <w:r>
        <w:t xml:space="preserve"> </w:t>
      </w:r>
      <w:r>
        <w:rPr>
          <w:rStyle w:val="VerbatimChar"/>
        </w:rPr>
        <w:t xml:space="preserve">JM_SCW_prep</w:t>
      </w:r>
      <w:r>
        <w:t xml:space="preserve"> </w:t>
      </w:r>
      <w:r>
        <w:t xml:space="preserve">working</w:t>
      </w:r>
      <w:r>
        <w:t xml:space="preserve"> </w:t>
      </w:r>
      <w:r>
        <w:t xml:space="preserve">paper package.</w:t>
      </w:r>
    </w:p>
    <w:p>
      <w:pPr>
        <w:pStyle w:val="BodyText"/>
      </w:pPr>
      <w:r>
        <w:rPr>
          <w:b/>
          <w:bCs/>
        </w:rPr>
        <w:t xml:space="preserve">23.</w:t>
      </w:r>
      <w:r>
        <w:t xml:space="preserve"> </w:t>
      </w:r>
      <w:r>
        <w:t xml:space="preserve">The age-structured contribution to estimated spawning biomass from the fitted</w:t>
      </w:r>
      <w:r>
        <w:t xml:space="preserve"> </w:t>
      </w:r>
      <w:r>
        <w:rPr>
          <w:rStyle w:val="VerbatimChar"/>
        </w:rPr>
        <w:t xml:space="preserve">h2_1.14</w:t>
      </w:r>
      <w:r>
        <w:t xml:space="preserve"> </w:t>
      </w:r>
      <w:r>
        <w:t xml:space="preserve">model is shown in</w:t>
      </w:r>
      <w:r>
        <w:t xml:space="preserve"> </w:t>
      </w:r>
      <w:hyperlink w:anchor="fig-h2-ssb-age-timeseries">
        <w:r>
          <w:rPr>
            <w:rStyle w:val="Hyperlink"/>
          </w:rPr>
          <w:t xml:space="preserve">Figure 8</w:t>
        </w:r>
      </w:hyperlink>
      <w:r>
        <w:t xml:space="preserve">. Age groups 7 and older</w:t>
      </w:r>
      <w:r>
        <w:t xml:space="preserve"> </w:t>
      </w:r>
      <w:r>
        <w:t xml:space="preserve">are pooled to keep the time series interpretable while retaining the dominant</w:t>
      </w:r>
      <w:r>
        <w:t xml:space="preserve"> </w:t>
      </w:r>
      <w:r>
        <w:t xml:space="preserve">older-age contribution. Stock 1 has a broader distribution across ages, with</w:t>
      </w:r>
      <w:r>
        <w:t xml:space="preserve"> </w:t>
      </w:r>
      <w:r>
        <w:t xml:space="preserve">substantial contributions from ages 2-5 and a smaller relative contribution from</w:t>
      </w:r>
      <w:r>
        <w:t xml:space="preserve"> </w:t>
      </w:r>
      <w:r>
        <w:t xml:space="preserve">the pooled older ages in recent years. Stock 2 is shifted older because age-1</w:t>
      </w:r>
      <w:r>
        <w:t xml:space="preserve"> </w:t>
      </w:r>
      <w:r>
        <w:t xml:space="preserve">fish are immature and age-2 maturity is partial; its spawning biomass is</w:t>
      </w:r>
      <w:r>
        <w:t xml:space="preserve"> </w:t>
      </w:r>
      <w:r>
        <w:t xml:space="preserve">therefore concentrated more strongly in ages 3-6 and the 7+ group, with the 7+</w:t>
      </w:r>
      <w:r>
        <w:t xml:space="preserve"> </w:t>
      </w:r>
      <w:r>
        <w:t xml:space="preserve">group contributing a larger share than in Stock 1.</w:t>
      </w:r>
    </w:p>
    <w:p>
      <w:pPr>
        <w:pStyle w:val="BodyText"/>
      </w:pPr>
      <w:r>
        <w:rPr>
          <w:b/>
          <w:bCs/>
        </w:rPr>
        <w:t xml:space="preserve">24.</w:t>
      </w:r>
      <w:r>
        <w:t xml:space="preserve"> </w:t>
      </w:r>
      <w:r>
        <w:t xml:space="preserve">The same fitted spawning biomass time series is shown by stock in</w:t>
      </w:r>
      <w:r>
        <w:t xml:space="preserve"> </w:t>
      </w:r>
      <w:hyperlink w:anchor="fig-h2-ssb-stock-scale">
        <w:r>
          <w:rPr>
            <w:rStyle w:val="Hyperlink"/>
          </w:rPr>
          <w:t xml:space="preserve">Figure 9</w:t>
        </w:r>
      </w:hyperlink>
      <w:r>
        <w:t xml:space="preserve">. The purpose of this second figure is to show the</w:t>
      </w:r>
      <w:r>
        <w:t xml:space="preserve"> </w:t>
      </w:r>
      <w:r>
        <w:t xml:space="preserve">relative scale of spawning biomass between the two stocks.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56" w:name="fig-h2-ssb-age-timeseries"/>
          <w:p>
            <w:pPr>
              <w:pStyle w:val="Compact"/>
              <w:jc w:val="center"/>
            </w:pPr>
            <w:r>
              <w:drawing>
                <wp:inline>
                  <wp:extent cx="5334000" cy="4667250"/>
                  <wp:effectExtent b="0" l="0" r="0" t="0"/>
                  <wp:docPr descr="" title="" id="54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h2-ssb-age-timeseries-1.png" id="5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466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8: Age-structured contribution to estimated spawning biomass from the fitted h2_1.14 model. Ages 7 and older are pooled.</w:t>
            </w:r>
          </w:p>
          <w:bookmarkEnd w:id="56"/>
        </w:tc>
      </w:tr>
    </w:tbl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0" w:name="fig-h2-ssb-stock-scale"/>
          <w:p>
            <w:pPr>
              <w:pStyle w:val="Compact"/>
              <w:jc w:val="center"/>
            </w:pPr>
            <w:r>
              <w:drawing>
                <wp:inline>
                  <wp:extent cx="5334000" cy="3000375"/>
                  <wp:effectExtent b="0" l="0" r="0" t="0"/>
                  <wp:docPr descr="" title="" id="58" name="Picture"/>
                  <a:graphic>
                    <a:graphicData uri="http://schemas.openxmlformats.org/drawingml/2006/picture">
                      <pic:pic>
                        <pic:nvPicPr>
                          <pic:cNvPr descr="SCW16-Doc05_JM_Biology_files/figure-docx/fig-h2-ssb-stock-scale-1.png" id="59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3000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left"/>
              <w:spacing w:before="200"/>
              <w:pStyle w:val="ImageCaption"/>
            </w:pPr>
            <w:r>
              <w:t xml:space="preserve">Figure 9: Stacked spawning biomass by stock from the fitted h2_1.14 model. This figure is intended to show the relative scale between stocks.</w:t>
            </w:r>
          </w:p>
          <w:bookmarkEnd w:id="60"/>
        </w:tc>
      </w:tr>
    </w:tbl>
    <w:p>
      <w:pPr>
        <w:pStyle w:val="BodyText"/>
      </w:pPr>
      <w:r>
        <w:rPr>
          <w:b/>
          <w:bCs/>
        </w:rPr>
        <w:t xml:space="preserve">25.</w:t>
      </w:r>
      <w:r>
        <w:t xml:space="preserve"> </w:t>
      </w:r>
      <w:r>
        <w:t xml:space="preserve">Initial points to carry forward:</w:t>
      </w:r>
    </w:p>
    <w:p>
      <w:pPr>
        <w:pStyle w:val="Compact"/>
        <w:numPr>
          <w:ilvl w:val="0"/>
          <w:numId w:val="1003"/>
        </w:numPr>
      </w:pPr>
      <w:r>
        <w:t xml:space="preserve">The authoritative files remain in</w:t>
      </w:r>
      <w:r>
        <w:t xml:space="preserve"> </w:t>
      </w:r>
      <w:r>
        <w:rPr>
          <w:rStyle w:val="VerbatimChar"/>
        </w:rPr>
        <w:t xml:space="preserve">jjm/assessment</w:t>
      </w:r>
      <w:r>
        <w:t xml:space="preserve">; this repository reads</w:t>
      </w:r>
      <w:r>
        <w:t xml:space="preserve"> </w:t>
      </w:r>
      <w:r>
        <w:t xml:space="preserve">them directly for reproducibility.</w:t>
      </w:r>
    </w:p>
    <w:p>
      <w:pPr>
        <w:pStyle w:val="Compact"/>
        <w:numPr>
          <w:ilvl w:val="0"/>
          <w:numId w:val="1003"/>
        </w:numPr>
      </w:pPr>
      <w:r>
        <w:t xml:space="preserve">The single-stock and two-stock hypotheses share the same common data file but</w:t>
      </w:r>
      <w:r>
        <w:t xml:space="preserve"> </w:t>
      </w:r>
      <w:r>
        <w:t xml:space="preserve">differ in biological and stock-structure assumptions through their control</w:t>
      </w:r>
      <w:r>
        <w:t xml:space="preserve"> </w:t>
      </w:r>
      <w:r>
        <w:t xml:space="preserve">files.</w:t>
      </w:r>
    </w:p>
    <w:p>
      <w:pPr>
        <w:pStyle w:val="Compact"/>
        <w:numPr>
          <w:ilvl w:val="0"/>
          <w:numId w:val="1003"/>
        </w:numPr>
      </w:pPr>
      <w:r>
        <w:t xml:space="preserve">The Far North historical weight-at-age update should be evaluated explicitly</w:t>
      </w:r>
      <w:r>
        <w:t xml:space="preserve"> </w:t>
      </w:r>
      <w:r>
        <w:t xml:space="preserve">against model</w:t>
      </w:r>
      <w:r>
        <w:t xml:space="preserve"> </w:t>
      </w:r>
      <w:r>
        <w:rPr>
          <w:rStyle w:val="VerbatimChar"/>
        </w:rPr>
        <w:t xml:space="preserve">1.13</w:t>
      </w:r>
      <w:r>
        <w:t xml:space="preserve">, because that is the defining change from</w:t>
      </w:r>
      <w:r>
        <w:t xml:space="preserve"> </w:t>
      </w:r>
      <w:r>
        <w:rPr>
          <w:rStyle w:val="VerbatimChar"/>
        </w:rPr>
        <w:t xml:space="preserve">1.13</w:t>
      </w:r>
      <w:r>
        <w:t xml:space="preserve"> </w:t>
      </w:r>
      <w:r>
        <w:t xml:space="preserve">to</w:t>
      </w:r>
      <w:r>
        <w:t xml:space="preserve"> </w:t>
      </w:r>
      <w:r>
        <w:rPr>
          <w:rStyle w:val="VerbatimChar"/>
        </w:rPr>
        <w:t xml:space="preserve">1.14</w:t>
      </w:r>
      <w:r>
        <w:t xml:space="preserve">.</w:t>
      </w:r>
    </w:p>
    <w:bookmarkEnd w:id="61"/>
    <w:bookmarkStart w:id="71" w:name="references"/>
    <w:p>
      <w:pPr>
        <w:pStyle w:val="Heading1"/>
      </w:pPr>
      <w:r>
        <w:t xml:space="preserve">5. References</w:t>
      </w:r>
    </w:p>
    <w:bookmarkStart w:id="70" w:name="refs"/>
    <w:bookmarkStart w:id="63" w:name="ref-sprfmo2022scw14"/>
    <w:p>
      <w:pPr>
        <w:pStyle w:val="Bibliography"/>
      </w:pPr>
      <w:r>
        <w:t xml:space="preserve">SPRFMO Scientific Committee. (2022a).</w:t>
      </w:r>
      <w:r>
        <w:t xml:space="preserve"> </w:t>
      </w:r>
      <w:r>
        <w:rPr>
          <w:i/>
          <w:iCs/>
        </w:rPr>
        <w:t xml:space="preserve">Jack mackerel benchmark workshop (SCW14)</w:t>
      </w:r>
      <w:r>
        <w:t xml:space="preserve">. South Pacific Regional Fisheries Management Organisation (SPRFMO).</w:t>
      </w:r>
      <w:r>
        <w:t xml:space="preserve"> </w:t>
      </w:r>
      <w:hyperlink r:id="rId62">
        <w:r>
          <w:rPr>
            <w:rStyle w:val="Hyperlink"/>
          </w:rPr>
          <w:t xml:space="preserve">https://www.sprfmo.int/meetings/scientific-committee/sc-workshops/scw14-jack-mackerel</w:t>
        </w:r>
      </w:hyperlink>
    </w:p>
    <w:bookmarkEnd w:id="63"/>
    <w:bookmarkStart w:id="65" w:name="ref-sprfmo2022scw14report"/>
    <w:p>
      <w:pPr>
        <w:pStyle w:val="Bibliography"/>
      </w:pPr>
      <w:r>
        <w:t xml:space="preserve">SPRFMO Scientific Committee. (2022b).</w:t>
      </w:r>
      <w:r>
        <w:t xml:space="preserve"> </w:t>
      </w:r>
      <w:r>
        <w:rPr>
          <w:i/>
          <w:iCs/>
        </w:rPr>
        <w:t xml:space="preserve">SPRFMO scientific committee jack mackerel benchmark workshop (2022) report</w:t>
      </w:r>
      <w:r>
        <w:t xml:space="preserve">. South Pacific Regional Fisheries Management Organisation (SPRFMO).</w:t>
      </w:r>
      <w:r>
        <w:t xml:space="preserve"> </w:t>
      </w:r>
      <w:hyperlink r:id="rId64">
        <w:r>
          <w:rPr>
            <w:rStyle w:val="Hyperlink"/>
          </w:rPr>
          <w:t xml:space="preserve">https://www.sprfmo.int/assets/Meetings/SC_WS/SCW14-Jack-Mackerel-2022/SPRFMO-SC-JM-Benchmark-Workshop-2022-Report-SCW14.pdf</w:t>
        </w:r>
      </w:hyperlink>
    </w:p>
    <w:bookmarkEnd w:id="65"/>
    <w:bookmarkStart w:id="67" w:name="ref-sprfmo2025sc13report"/>
    <w:p>
      <w:pPr>
        <w:pStyle w:val="Bibliography"/>
      </w:pPr>
      <w:r>
        <w:t xml:space="preserve">SPRFMO Scientific Committee. (2025a).</w:t>
      </w:r>
      <w:r>
        <w:t xml:space="preserve"> </w:t>
      </w:r>
      <w:r>
        <w:rPr>
          <w:i/>
          <w:iCs/>
        </w:rPr>
        <w:t xml:space="preserve">13th scientific committee meeting report</w:t>
      </w:r>
      <w:r>
        <w:t xml:space="preserve"> </w:t>
      </w:r>
      <w:r>
        <w:t xml:space="preserve">(p. 180). South Pacific Regional Fisheries Management Organisation (SPRFMO).</w:t>
      </w:r>
      <w:r>
        <w:t xml:space="preserve"> </w:t>
      </w:r>
      <w:hyperlink r:id="rId66">
        <w:r>
          <w:rPr>
            <w:rStyle w:val="Hyperlink"/>
          </w:rPr>
          <w:t xml:space="preserve">https://sprfmo.int/assets/Meetings/02-SC/13th-SC-2025/SC13-REPORT-ADOPTED-13SEPT2025c.pdf</w:t>
        </w:r>
      </w:hyperlink>
    </w:p>
    <w:bookmarkEnd w:id="67"/>
    <w:bookmarkStart w:id="69" w:name="ref-sprfmo2025annex11"/>
    <w:p>
      <w:pPr>
        <w:pStyle w:val="Bibliography"/>
      </w:pPr>
      <w:r>
        <w:t xml:space="preserve">SPRFMO Scientific Committee. (2025b).</w:t>
      </w:r>
      <w:r>
        <w:t xml:space="preserve"> </w:t>
      </w:r>
      <w:r>
        <w:rPr>
          <w:i/>
          <w:iCs/>
        </w:rPr>
        <w:t xml:space="preserve">Annex 11: Jack mackerel technical annex</w:t>
      </w:r>
      <w:r>
        <w:t xml:space="preserve">. South Pacific Regional Fisheries Management Organisation (SPRFMO).</w:t>
      </w:r>
      <w:r>
        <w:t xml:space="preserve"> </w:t>
      </w:r>
      <w:hyperlink r:id="rId68">
        <w:r>
          <w:rPr>
            <w:rStyle w:val="Hyperlink"/>
          </w:rPr>
          <w:t xml:space="preserve">https://sprfmo.int/assets/Meetings/02-SC/13th-SC-2025/SC13-Report-Annex-11_final.pdf</w:t>
        </w:r>
      </w:hyperlink>
    </w:p>
    <w:bookmarkEnd w:id="69"/>
    <w:bookmarkEnd w:id="70"/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35" Target="media/rId35.png" /><Relationship Type="http://schemas.openxmlformats.org/officeDocument/2006/relationships/image" Id="rId39" Target="media/rId39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18" Target="media/rId18.png" /><Relationship Type="http://schemas.openxmlformats.org/officeDocument/2006/relationships/image" Id="rId53" Target="media/rId53.png" /><Relationship Type="http://schemas.openxmlformats.org/officeDocument/2006/relationships/image" Id="rId57" Target="media/rId57.png" /><Relationship Type="http://schemas.openxmlformats.org/officeDocument/2006/relationships/image" Id="rId27" Target="media/rId27.png" /><Relationship Type="http://schemas.openxmlformats.org/officeDocument/2006/relationships/image" Id="rId31" Target="media/rId31.png" /><Relationship Type="http://schemas.openxmlformats.org/officeDocument/2006/relationships/image" Id="rId9" Target="media/rId9.png" /><Relationship Type="http://schemas.openxmlformats.org/officeDocument/2006/relationships/hyperlink" Id="rId66" Target="https://sprfmo.int/assets/Meetings/02-SC/13th-SC-2025/SC13-REPORT-ADOPTED-13SEPT2025c.pdf" TargetMode="External" /><Relationship Type="http://schemas.openxmlformats.org/officeDocument/2006/relationships/hyperlink" Id="rId68" Target="https://sprfmo.int/assets/Meetings/02-SC/13th-SC-2025/SC13-Report-Annex-11_final.pdf" TargetMode="External" /><Relationship Type="http://schemas.openxmlformats.org/officeDocument/2006/relationships/hyperlink" Id="rId64" Target="https://www.sprfmo.int/assets/Meetings/SC_WS/SCW14-Jack-Mackerel-2022/SPRFMO-SC-JM-Benchmark-Workshop-2022-Report-SCW14.pdf" TargetMode="External" /><Relationship Type="http://schemas.openxmlformats.org/officeDocument/2006/relationships/hyperlink" Id="rId62" Target="https://www.sprfmo.int/meetings/scientific-committee/sc-workshops/scw14-jack-mackere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6" Target="https://sprfmo.int/assets/Meetings/02-SC/13th-SC-2025/SC13-REPORT-ADOPTED-13SEPT2025c.pdf" TargetMode="External" /><Relationship Type="http://schemas.openxmlformats.org/officeDocument/2006/relationships/hyperlink" Id="rId68" Target="https://sprfmo.int/assets/Meetings/02-SC/13th-SC-2025/SC13-Report-Annex-11_final.pdf" TargetMode="External" /><Relationship Type="http://schemas.openxmlformats.org/officeDocument/2006/relationships/hyperlink" Id="rId64" Target="https://www.sprfmo.int/assets/Meetings/SC_WS/SCW14-Jack-Mackerel-2022/SPRFMO-SC-JM-Benchmark-Workshop-2022-Report-SCW14.pdf" TargetMode="External" /><Relationship Type="http://schemas.openxmlformats.org/officeDocument/2006/relationships/hyperlink" Id="rId62" Target="https://www.sprfmo.int/meetings/scientific-committee/sc-workshops/scw14-jack-mackere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JM Biology</dc:title>
  <dc:creator>Jack Mackerel Working Group</dc:creator>
  <cp:keywords/>
  <dcterms:created xsi:type="dcterms:W3CDTF">2026-05-12T05:10:14Z</dcterms:created>
  <dcterms:modified xsi:type="dcterms:W3CDTF">2026-05-12T05:10:14Z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annex/apa.csl</vt:lpwstr>
  </property>
  <property fmtid="{D5CDD505-2E9C-101B-9397-08002B2CF9AE}" pid="7" name="date">
    <vt:lpwstr>2026-05-11</vt:lpwstr>
  </property>
  <property fmtid="{D5CDD505-2E9C-101B-9397-08002B2CF9AE}" pid="8" name="engines">
    <vt:lpwstr/>
  </property>
  <property fmtid="{D5CDD505-2E9C-101B-9397-08002B2CF9AE}" pid="9" name="header-includes">
    <vt:lpwstr/>
  </property>
  <property fmtid="{D5CDD505-2E9C-101B-9397-08002B2CF9AE}" pid="10" name="include-after">
    <vt:lpwstr/>
  </property>
  <property fmtid="{D5CDD505-2E9C-101B-9397-08002B2CF9AE}" pid="11" name="include-before">
    <vt:lpwstr/>
  </property>
  <property fmtid="{D5CDD505-2E9C-101B-9397-08002B2CF9AE}" pid="12" name="labels">
    <vt:lpwstr/>
  </property>
  <property fmtid="{D5CDD505-2E9C-101B-9397-08002B2CF9AE}" pid="13" name="number-depth">
    <vt:lpwstr>2</vt:lpwstr>
  </property>
  <property fmtid="{D5CDD505-2E9C-101B-9397-08002B2CF9AE}" pid="14" name="subtitle">
    <vt:lpwstr>Biological data used in the joint jack mackerel assessment</vt:lpwstr>
  </property>
  <property fmtid="{D5CDD505-2E9C-101B-9397-08002B2CF9AE}" pid="15" name="title-block">
    <vt:lpwstr>False</vt:lpwstr>
  </property>
  <property fmtid="{D5CDD505-2E9C-101B-9397-08002B2CF9AE}" pid="16" name="toc-title">
    <vt:lpwstr>Table of contents</vt:lpwstr>
  </property>
</Properties>
</file>