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Maintaining the Jack Mackerel Technical Annex</w:t>
      </w:r>
    </w:p>
    <w:p>
      <w:pPr>
        <w:pStyle w:val="Subtitle"/>
      </w:pPr>
      <w:r>
        <w:t xml:space="preserve">A handover for the next assessment scientist</w:t>
      </w:r>
    </w:p>
    <w:p>
      <w:pPr>
        <w:pStyle w:val="Author"/>
      </w:pPr>
      <w:r>
        <w:t xml:space="preserve">Jack Mackerel Working Group</w:t>
      </w:r>
    </w:p>
    <w:p>
      <w:pPr>
        <w:pStyle w:val="Date"/>
      </w:pPr>
      <w:r>
        <w:t xml:space="preserve">2026-09-15</w:t>
      </w:r>
    </w:p>
    <w:bookmarkStart w:id="9" w:name="start-here"/>
    <w:p>
      <w:pPr>
        <w:pStyle w:val="Heading1"/>
      </w:pPr>
      <w:r>
        <w:t xml:space="preserve">1. Start here</w:t>
      </w:r>
    </w:p>
    <w:p>
      <w:pPr>
        <w:pStyle w:val="FirstParagraph"/>
      </w:pPr>
      <w:r>
        <w:t xml:space="preserve">The maintained annex is</w:t>
      </w:r>
      <w:r>
        <w:t xml:space="preserve"> </w:t>
      </w:r>
      <w:r>
        <w:rPr>
          <w:rStyle w:val="VerbatimChar"/>
        </w:rPr>
        <w:t xml:space="preserve">technical-annex-v2/</w:t>
      </w:r>
      <w:r>
        <w:t xml:space="preserve"> </w:t>
      </w:r>
      <w:r>
        <w:t xml:space="preserve">in the</w:t>
      </w:r>
      <w:r>
        <w:t xml:space="preserve"> </w:t>
      </w:r>
      <w:r>
        <w:rPr>
          <w:b/>
          <w:bCs/>
        </w:rPr>
        <w:t xml:space="preserve">SC14_JM</w:t>
      </w:r>
      <w:r>
        <w:t xml:space="preserve"> </w:t>
      </w:r>
      <w:r>
        <w:t xml:space="preserve">repository.</w:t>
      </w:r>
      <w:r>
        <w:t xml:space="preserve"> </w:t>
      </w:r>
      <w:r>
        <w:t xml:space="preserve">Open</w:t>
      </w:r>
      <w:r>
        <w:t xml:space="preserve"> </w:t>
      </w:r>
      <w:r>
        <w:rPr>
          <w:rStyle w:val="VerbatimChar"/>
        </w:rPr>
        <w:t xml:space="preserve">output/technical-annex.html</w:t>
      </w:r>
      <w:r>
        <w:t xml:space="preserve">,</w:t>
      </w:r>
      <w:r>
        <w:t xml:space="preserve"> </w:t>
      </w:r>
      <w:r>
        <w:rPr>
          <w:rStyle w:val="VerbatimChar"/>
        </w:rPr>
        <w:t xml:space="preserve">.pdf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. Edit the plain-text</w:t>
      </w:r>
      <w:r>
        <w:t xml:space="preserve"> </w:t>
      </w:r>
      <w:r>
        <w:t xml:space="preserve">files in</w:t>
      </w:r>
      <w:r>
        <w:t xml:space="preserve"> </w:t>
      </w:r>
      <w:r>
        <w:rPr>
          <w:rStyle w:val="VerbatimChar"/>
        </w:rPr>
        <w:t xml:space="preserve">report/</w:t>
      </w:r>
      <w:r>
        <w:t xml:space="preserve"> </w:t>
      </w:r>
      <w:r>
        <w:t xml:space="preserve">and rebuild from this folder:</w:t>
      </w:r>
    </w:p>
    <w:p>
      <w:pPr>
        <w:pStyle w:val="SourceCode"/>
      </w:pPr>
      <w:r>
        <w:rPr>
          <w:rStyle w:val="ExtensionTok"/>
        </w:rPr>
        <w:t xml:space="preserve">Rscript</w:t>
      </w:r>
      <w:r>
        <w:rPr>
          <w:rStyle w:val="NormalTok"/>
        </w:rPr>
        <w:t xml:space="preserve"> build.R           </w:t>
      </w:r>
      <w:r>
        <w:rPr>
          <w:rStyle w:val="CommentTok"/>
        </w:rPr>
        <w:t xml:space="preserve"># annex and this guide in HTML</w:t>
      </w:r>
      <w:r>
        <w:br/>
      </w:r>
      <w:r>
        <w:rPr>
          <w:rStyle w:val="ExtensionTok"/>
        </w:rPr>
        <w:t xml:space="preserve">Rscript</w:t>
      </w:r>
      <w:r>
        <w:rPr>
          <w:rStyle w:val="NormalTok"/>
        </w:rPr>
        <w:t xml:space="preserve"> build.R all       </w:t>
      </w:r>
      <w:r>
        <w:rPr>
          <w:rStyle w:val="CommentTok"/>
        </w:rPr>
        <w:t xml:space="preserve"># HTML, PDF and Word</w:t>
      </w:r>
      <w:r>
        <w:br/>
      </w:r>
      <w:r>
        <w:rPr>
          <w:rStyle w:val="ExtensionTok"/>
        </w:rPr>
        <w:t xml:space="preserve">Rscript</w:t>
      </w:r>
      <w:r>
        <w:rPr>
          <w:rStyle w:val="NormalTok"/>
        </w:rPr>
        <w:t xml:space="preserve"> build.R pdf annex </w:t>
      </w:r>
      <w:r>
        <w:rPr>
          <w:rStyle w:val="CommentTok"/>
        </w:rPr>
        <w:t xml:space="preserve"># one document and format</w:t>
      </w:r>
      <w:r>
        <w:br/>
      </w:r>
      <w:r>
        <w:rPr>
          <w:rStyle w:val="ExtensionTok"/>
        </w:rPr>
        <w:t xml:space="preserve">Rscript</w:t>
      </w:r>
      <w:r>
        <w:rPr>
          <w:rStyle w:val="NormalTok"/>
        </w:rPr>
        <w:t xml:space="preserve"> build.R check     </w:t>
      </w:r>
      <w:r>
        <w:rPr>
          <w:rStyle w:val="CommentTok"/>
        </w:rPr>
        <w:t xml:space="preserve"># verify inputs and risk calculations</w:t>
      </w:r>
    </w:p>
    <w:p>
      <w:pPr>
        <w:pStyle w:val="FirstParagraph"/>
      </w:pPr>
      <w:r>
        <w:t xml:space="preserve">The build uses R and Quarto. PDF also needs XeLaTeX and the fonts in</w:t>
      </w:r>
      <w:r>
        <w:t xml:space="preserve"> </w:t>
      </w:r>
      <w:r>
        <w:rPr>
          <w:rStyle w:val="VerbatimChar"/>
        </w:rPr>
        <w:t xml:space="preserve">report/_quarto.yml</w:t>
      </w:r>
      <w:r>
        <w:t xml:space="preserve">. Installation commands are in</w:t>
      </w:r>
      <w:r>
        <w:t xml:space="preserve"> </w:t>
      </w:r>
      <w:r>
        <w:rPr>
          <w:rStyle w:val="VerbatimChar"/>
        </w:rPr>
        <w:t xml:space="preserve">README.md</w:t>
      </w:r>
      <w:r>
        <w:t xml:space="preserve">. The supplied</w:t>
      </w:r>
      <w:r>
        <w:t xml:space="preserve"> </w:t>
      </w:r>
      <w:r>
        <w:rPr>
          <w:rStyle w:val="VerbatimChar"/>
        </w:rPr>
        <w:t xml:space="preserve">software/jjmR_1.2020.1.tar.gz</w:t>
      </w:r>
      <w:r>
        <w:t xml:space="preserve"> </w:t>
      </w:r>
      <w:r>
        <w:t xml:space="preserve">preserves the local package fixes used by the</w:t>
      </w:r>
      <w:r>
        <w:t xml:space="preserve"> </w:t>
      </w:r>
      <w:r>
        <w:t xml:space="preserve">annex. The build records package versions, logs and product hashes in</w:t>
      </w:r>
      <w:r>
        <w:t xml:space="preserve"> </w:t>
      </w:r>
      <w:r>
        <w:rPr>
          <w:rStyle w:val="VerbatimChar"/>
        </w:rPr>
        <w:t xml:space="preserve">validation/</w:t>
      </w:r>
      <w:r>
        <w:t xml:space="preserve">.</w:t>
      </w:r>
    </w:p>
    <w:p>
      <w:pPr>
        <w:pStyle w:val="BodyText"/>
      </w:pPr>
      <w:r>
        <w:t xml:space="preserve">These are the saved September 2026 Model 1.06 working results. This migration</w:t>
      </w:r>
      <w:r>
        <w:t xml:space="preserve"> </w:t>
      </w:r>
      <w:r>
        <w:t xml:space="preserve">changes the workflow and location; assessment findings and decision status remain</w:t>
      </w:r>
      <w:r>
        <w:t xml:space="preserve"> </w:t>
      </w:r>
      <w:r>
        <w:t xml:space="preserve">as recorded in the annex. Running the build reads saved fits, calculates summaries</w:t>
      </w:r>
      <w:r>
        <w:t xml:space="preserve"> </w:t>
      </w:r>
      <w:r>
        <w:t xml:space="preserve">and draws figures. A new assessment or projection requires a separate JJM run.</w:t>
      </w:r>
    </w:p>
    <w:bookmarkEnd w:id="9"/>
    <w:bookmarkStart w:id="12" w:name="follow-the-calculation"/>
    <w:p>
      <w:pPr>
        <w:pStyle w:val="Heading1"/>
      </w:pPr>
      <w:r>
        <w:t xml:space="preserve">2. Follow the calculation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Borders xmlns:w="http://schemas.openxmlformats.org/wordprocessingml/2006/main">
          <w:top xmlns:w="http://schemas.openxmlformats.org/wordprocessingml/2006/main" w:val="single" w:sz="4" w:color="D9D9D9"/>
          <w:left xmlns:w="http://schemas.openxmlformats.org/wordprocessingml/2006/main" w:val="single" w:sz="4" w:color="D9D9D9"/>
          <w:bottom xmlns:w="http://schemas.openxmlformats.org/wordprocessingml/2006/main" w:val="single" w:sz="4" w:color="D9D9D9"/>
          <w:right xmlns:w="http://schemas.openxmlformats.org/wordprocessingml/2006/main" w:val="single" w:sz="4" w:color="D9D9D9"/>
          <w:insideH xmlns:w="http://schemas.openxmlformats.org/wordprocessingml/2006/main" w:val="single" w:sz="4" w:color="D9D9D9"/>
          <w:insideV xmlns:w="http://schemas.openxmlformats.org/wordprocessingml/2006/main" w:val="single" w:sz="4" w:color="D9D9D9"/>
        </w:tblBorders>
      </w:tblPr>
      <w:tblGrid>
        <w:gridCol w:w="2640"/>
        <w:gridCol w:w="2640"/>
        <w:gridCol w:w="2640"/>
      </w:tblGrid>
      <w:tr>
        <w:trPr>
          <w:tblHeader w:val="on"/>
          <w:cantSplit xmlns:w="http://schemas.openxmlformats.org/wordprocessingml/2006/mai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R calculation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rPr xmlns:w="http://schemas.openxmlformats.org/wordprocessingml/2006/main">
          <w:cantSplit xmlns:w="http://schemas.openxmlformats.org/wordprocessingml/2006/mai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data/assessment/config/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input/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results/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R/prepare_report.R</w:t>
            </w:r>
            <w:r>
              <w:t xml:space="preserve"> </w:t>
            </w:r>
            <w:r>
              <w:t xml:space="preserve">reads four fits with</w:t>
            </w:r>
            <w:r>
              <w:t xml:space="preserve"> </w:t>
            </w:r>
            <w:r>
              <w:rPr>
                <w:rStyle w:val="VerbatimChar"/>
              </w:rPr>
              <w:t xml:space="preserve">jjmR::readJJM</w:t>
            </w:r>
          </w:p>
        </w:tc>
        <w:tc>
          <w:tcPr/>
          <w:p>
            <w:pPr>
              <w:pStyle w:val="Compact"/>
            </w:pPr>
            <w:r>
              <w:t xml:space="preserve">Model objects, status and catch summaries in</w:t>
            </w:r>
            <w:r>
              <w:t xml:space="preserve"> </w:t>
            </w:r>
            <w:r>
              <w:rPr>
                <w:rStyle w:val="VerbatimChar"/>
              </w:rPr>
              <w:t xml:space="preserve">data/derived/</w:t>
            </w:r>
          </w:p>
        </w:tc>
      </w:tr>
      <w:tr>
        <w:trPr xmlns:w="http://schemas.openxmlformats.org/wordprocessingml/2006/main">
          <w:cantSplit xmlns:w="http://schemas.openxmlformats.org/wordprocessingml/2006/main"/>
        </w:trPr>
        <w:tc>
          <w:tcPr/>
          <w:p>
            <w:pPr>
              <w:pStyle w:val="Compact"/>
            </w:pPr>
            <w:r>
              <w:t xml:space="preserve">Base</w:t>
            </w:r>
            <w:r>
              <w:t xml:space="preserve"> </w:t>
            </w:r>
            <w:r>
              <w:rPr>
                <w:rStyle w:val="VerbatimChar"/>
              </w:rPr>
              <w:t xml:space="preserve">msy_mt</w:t>
            </w:r>
            <w:r>
              <w:t xml:space="preserve"> </w:t>
            </w:r>
            <w:r>
              <w:t xml:space="preserve">block</w:t>
            </w:r>
          </w:p>
        </w:tc>
        <w:tc>
          <w:tcPr/>
          <w:p>
            <w:pPr>
              <w:pStyle w:val="Compact"/>
            </w:pPr>
            <w:r>
              <w:t xml:space="preserve">Mean of column 10 for 2017–2026</w:t>
            </w:r>
          </w:p>
        </w:tc>
        <w:tc>
          <w:tcPr/>
          <w:p>
            <w:pPr>
              <w:pStyle w:val="Compact"/>
            </w:pPr>
            <w:r>
              <w:t xml:space="preserve">Fixed BMSY for stock status and risk</w:t>
            </w:r>
          </w:p>
        </w:tc>
      </w:tr>
      <w:tr>
        <w:trPr xmlns:w="http://schemas.openxmlformats.org/wordprocessingml/2006/main">
          <w:cantSplit xmlns:w="http://schemas.openxmlformats.org/wordprocessingml/2006/mai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data/projections/*_R.rep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R/risk_data.R</w:t>
            </w:r>
            <w:r>
              <w:t xml:space="preserve"> </w:t>
            </w:r>
            <w:r>
              <w:t xml:space="preserve">reads projected SSB and ADMB standard error</w:t>
            </w:r>
          </w:p>
        </w:tc>
        <w:tc>
          <w:tcPr/>
          <w:p>
            <w:pPr>
              <w:pStyle w:val="Compact"/>
            </w:pPr>
            <w:r>
              <w:t xml:space="preserve">All 180 annual records in</w:t>
            </w:r>
            <w:r>
              <w:t xml:space="preserve"> </w:t>
            </w:r>
            <w:r>
              <w:rPr>
                <w:rStyle w:val="VerbatimChar"/>
              </w:rPr>
              <w:t xml:space="preserve">data/derived/risk-data.csv</w:t>
            </w:r>
          </w:p>
        </w:tc>
      </w:tr>
      <w:tr>
        <w:trPr xmlns:w="http://schemas.openxmlformats.org/wordprocessingml/2006/main">
          <w:cantSplit xmlns:w="http://schemas.openxmlformats.org/wordprocessingml/2006/main"/>
        </w:trPr>
        <w:tc>
          <w:tcPr/>
          <w:p>
            <w:pPr>
              <w:pStyle w:val="Compact"/>
            </w:pPr>
            <w:r>
              <w:t xml:space="preserve">Saved fits and retrospectives</w:t>
            </w:r>
          </w:p>
        </w:tc>
        <w:tc>
          <w:tcPr/>
          <w:p>
            <w:pPr>
              <w:pStyle w:val="Compact"/>
            </w:pPr>
            <w:r>
              <w:t xml:space="preserve">R chunks in</w:t>
            </w:r>
            <w:r>
              <w:t xml:space="preserve"> </w:t>
            </w:r>
            <w:r>
              <w:rPr>
                <w:rStyle w:val="VerbatimChar"/>
              </w:rPr>
              <w:t xml:space="preserve">report/annex_tables.qmd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annex_plots.qmd</w:t>
            </w:r>
          </w:p>
        </w:tc>
        <w:tc>
          <w:tcPr/>
          <w:p>
            <w:pPr>
              <w:pStyle w:val="Compact"/>
            </w:pPr>
            <w:r>
              <w:t xml:space="preserve">Report tables and figures</w:t>
            </w:r>
          </w:p>
        </w:tc>
      </w:tr>
      <w:tr>
        <w:trPr xmlns:w="http://schemas.openxmlformats.org/wordprocessingml/2006/main">
          <w:cantSplit xmlns:w="http://schemas.openxmlformats.org/wordprocessingml/2006/main"/>
        </w:trPr>
        <w:tc>
          <w:tcPr/>
          <w:p>
            <w:pPr>
              <w:pStyle w:val="Compact"/>
            </w:pPr>
            <w:r>
              <w:t xml:space="preserve">Text, tables and figures</w:t>
            </w:r>
          </w:p>
        </w:tc>
        <w:tc>
          <w:tcPr/>
          <w:p>
            <w:pPr>
              <w:pStyle w:val="Compact"/>
            </w:pPr>
            <w:r>
              <w:t xml:space="preserve">Quarto assembles the includes in</w:t>
            </w:r>
            <w:r>
              <w:t xml:space="preserve"> </w:t>
            </w:r>
            <w:r>
              <w:rPr>
                <w:rStyle w:val="VerbatimChar"/>
              </w:rPr>
              <w:t xml:space="preserve">report/technical-annex.qmd</w:t>
            </w:r>
          </w:p>
        </w:tc>
        <w:tc>
          <w:tcPr/>
          <w:p>
            <w:pPr>
              <w:pStyle w:val="Compact"/>
            </w:pPr>
            <w:r>
              <w:t xml:space="preserve">HTML, PDF and Word in</w:t>
            </w:r>
            <w:r>
              <w:t xml:space="preserve"> </w:t>
            </w:r>
            <w:r>
              <w:rPr>
                <w:rStyle w:val="VerbatimChar"/>
              </w:rPr>
              <w:t xml:space="preserve">output/</w:t>
            </w:r>
          </w:p>
        </w:tc>
      </w:tr>
    </w:tbl>
    <w:bookmarkStart w:id="10" w:name="example-probability"/>
    <w:p>
      <w:pPr>
        <w:pStyle w:val="Heading2"/>
      </w:pPr>
      <w:r>
        <w:t xml:space="preserve">2.1 Example probability</w:t>
      </w:r>
    </w:p>
    <w:p>
      <w:pPr>
        <w:pStyle w:val="FirstParagraph"/>
      </w:pPr>
      <w:r>
        <w:t xml:space="preserve">For each stock, scenario and year,</w:t>
      </w:r>
      <w:r>
        <w:t xml:space="preserve"> </w:t>
      </w:r>
      <w:r>
        <w:rPr>
          <w:rStyle w:val="VerbatimChar"/>
        </w:rPr>
        <w:t xml:space="preserve">R/risk_data.R</w:t>
      </w:r>
      <w:r>
        <w:t xml:space="preserve"> </w:t>
      </w:r>
      <w:r>
        <w:t xml:space="preserve">calculates:</w:t>
      </w:r>
    </w:p>
    <w:p>
      <w:pPr>
        <w:pStyle w:val="SourceCode"/>
      </w:pP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pnorm</w:t>
      </w:r>
      <w:r>
        <w:rPr>
          <w:rStyle w:val="NormalTok"/>
        </w:rPr>
        <w:t xml:space="preserve">(BMSY,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projected_SSB,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ADMB_SE,</w:t>
      </w:r>
      <w:r>
        <w:br/>
      </w:r>
      <w:r>
        <w:rPr>
          <w:rStyle w:val="NormalTok"/>
        </w:rPr>
        <w:t xml:space="preserve">           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The fixed target uses the</w:t>
      </w:r>
      <w:r>
        <w:t xml:space="preserve"> </w:t>
      </w:r>
      <w:r>
        <w:rPr>
          <w:b/>
          <w:bCs/>
        </w:rPr>
        <w:t xml:space="preserve">base</w:t>
      </w:r>
      <w:r>
        <w:t xml:space="preserve"> </w:t>
      </w:r>
      <w:r>
        <w:t xml:space="preserve">assessment; the projected biomass and standard</w:t>
      </w:r>
      <w:r>
        <w:t xml:space="preserve"> </w:t>
      </w:r>
      <w:r>
        <w:t xml:space="preserve">error use the</w:t>
      </w:r>
      <w:r>
        <w:t xml:space="preserve"> </w:t>
      </w:r>
      <w:r>
        <w:rPr>
          <w:b/>
          <w:bCs/>
        </w:rPr>
        <w:t xml:space="preserve">.ls</w:t>
      </w:r>
      <w:r>
        <w:t xml:space="preserve"> </w:t>
      </w:r>
      <w:r>
        <w:t xml:space="preserve">ten-year projection. All quantities are in kt. The result is</w:t>
      </w:r>
      <w:r>
        <w:t xml:space="preserve"> </w:t>
      </w:r>
      <w:r>
        <w:t xml:space="preserve">an annual conditional normal probability. The calculation holds BMSY fixed and</w:t>
      </w:r>
      <w:r>
        <w:t xml:space="preserve"> </w:t>
      </w:r>
      <w:r>
        <w:t xml:space="preserve">excludes uncertainty in that threshold. R recalculates every record and compares</w:t>
      </w:r>
      <w:r>
        <w:t xml:space="preserve"> </w:t>
      </w:r>
      <w:r>
        <w:t xml:space="preserve">it with the reviewed export before the report uses it.</w:t>
      </w:r>
    </w:p>
    <w:p>
      <w:pPr>
        <w:pStyle w:val="BodyText"/>
      </w:pPr>
      <w:r>
        <w:t xml:space="preserve">For single-stock scenario 4 in 2028, the target is 6,869.029 kt, projected SSB is</w:t>
      </w:r>
      <w:r>
        <w:t xml:space="preserve"> </w:t>
      </w:r>
      <w:r>
        <w:t xml:space="preserve">5,774.3 kt and its standard error is 1,147.25 kt. The result is 16.999%, displayed</w:t>
      </w:r>
      <w:r>
        <w:t xml:space="preserve"> </w:t>
      </w:r>
      <w:r>
        <w:t xml:space="preserve">as</w:t>
      </w:r>
      <w:r>
        <w:t xml:space="preserve"> </w:t>
      </w:r>
      <w:r>
        <w:rPr>
          <w:b/>
          <w:bCs/>
        </w:rPr>
        <w:t xml:space="preserve">17%</w:t>
      </w:r>
      <w:r>
        <w:t xml:space="preserve">. The tables show 2028, 2031 and 2036: two, five and ten years after 2026.</w:t>
      </w:r>
    </w:p>
    <w:bookmarkEnd w:id="10"/>
    <w:bookmarkStart w:id="11" w:name="keep-the-reference-points-distinct"/>
    <w:p>
      <w:pPr>
        <w:pStyle w:val="Heading2"/>
      </w:pPr>
      <w:r>
        <w:t xml:space="preserve">2.2 Keep the reference points distinct</w:t>
      </w:r>
    </w:p>
    <w:p>
      <w:pPr>
        <w:pStyle w:val="FirstParagraph"/>
      </w:pPr>
      <w:r>
        <w:t xml:space="preserve">The fixed risk target is a</w:t>
      </w:r>
      <w:r>
        <w:t xml:space="preserve"> </w:t>
      </w:r>
      <w:r>
        <w:rPr>
          <w:b/>
          <w:bCs/>
        </w:rPr>
        <w:t xml:space="preserve">2017–2026 mean of annual base BMSY</w:t>
      </w:r>
      <w:r>
        <w:t xml:space="preserve">. The model’s</w:t>
      </w:r>
      <w:r>
        <w:t xml:space="preserve"> </w:t>
      </w:r>
      <w:r>
        <w:t xml:space="preserve">separate</w:t>
      </w:r>
      <w:r>
        <w:t xml:space="preserve"> </w:t>
      </w:r>
      <w:r>
        <w:rPr>
          <w:b/>
          <w:bCs/>
        </w:rPr>
        <w:t xml:space="preserve">global scalar BMSY</w:t>
      </w:r>
      <w:r>
        <w:t xml:space="preserve"> </w:t>
      </w:r>
      <w:r>
        <w:t xml:space="preserve">uses 2011–2025 mean selectivity. Scenario 4</w:t>
      </w:r>
      <w:r>
        <w:t xml:space="preserve"> </w:t>
      </w:r>
      <w:r>
        <w:t xml:space="preserve">optimizes and applies its projection FMSY with 2023–2025 mean future selectivity.</w:t>
      </w:r>
      <w:r>
        <w:t xml:space="preserve"> </w:t>
      </w:r>
      <w:r>
        <w:t xml:space="preserve">The equations and scalar values are in</w:t>
      </w:r>
      <w:r>
        <w:t xml:space="preserve"> </w:t>
      </w:r>
      <w:r>
        <w:rPr>
          <w:rStyle w:val="VerbatimChar"/>
        </w:rPr>
        <w:t xml:space="preserve">report/annex_reference_points.qmd</w:t>
      </w:r>
      <w:r>
        <w:t xml:space="preserve">;</w:t>
      </w:r>
      <w:r>
        <w:t xml:space="preserve"> </w:t>
      </w:r>
      <w:r>
        <w:rPr>
          <w:rStyle w:val="VerbatimChar"/>
        </w:rPr>
        <w:t xml:space="preserve">data/projections/manifest.json</w:t>
      </w:r>
      <w:r>
        <w:t xml:space="preserve"> </w:t>
      </w:r>
      <w:r>
        <w:t xml:space="preserve">identifies the saved projection run and template.</w:t>
      </w:r>
    </w:p>
    <w:p>
      <w:pPr>
        <w:pStyle w:val="BodyText"/>
      </w:pPr>
      <w:r>
        <w:t xml:space="preserve">The original five-year projection plots remain historical comparisons. The risk</w:t>
      </w:r>
      <w:r>
        <w:t xml:space="preserve"> </w:t>
      </w:r>
      <w:r>
        <w:t xml:space="preserve">tables use the separate ten-year products. Three explanatory diagrams and the</w:t>
      </w:r>
      <w:r>
        <w:t xml:space="preserve"> </w:t>
      </w:r>
      <w:r>
        <w:t xml:space="preserve">reference-value tables retain reviewed September values; inspect their labels</w:t>
      </w:r>
      <w:r>
        <w:t xml:space="preserve"> </w:t>
      </w:r>
      <w:r>
        <w:t xml:space="preserve">when changing models. Original diagram drawing scripts are preserved in the</w:t>
      </w:r>
      <w:r>
        <w:t xml:space="preserve"> </w:t>
      </w:r>
      <w:r>
        <w:t xml:space="preserve">archive. These saved elements require an explicit update when new runs are adopted.</w:t>
      </w:r>
    </w:p>
    <w:bookmarkEnd w:id="11"/>
    <w:bookmarkEnd w:id="12"/>
    <w:bookmarkStart w:id="13" w:name="make-a-change"/>
    <w:p>
      <w:pPr>
        <w:pStyle w:val="Heading1"/>
      </w:pPr>
      <w:r>
        <w:t xml:space="preserve">3. Make a change</w:t>
      </w:r>
    </w:p>
    <w:p>
      <w:pPr>
        <w:pStyle w:val="FirstParagraph"/>
      </w:pPr>
      <w:r>
        <w:t xml:space="preserve">For prose, edit</w:t>
      </w:r>
      <w:r>
        <w:t xml:space="preserve"> </w:t>
      </w:r>
      <w:r>
        <w:rPr>
          <w:rStyle w:val="VerbatimChar"/>
        </w:rPr>
        <w:t xml:space="preserve">report/annex_text.qmd</w:t>
      </w:r>
      <w:r>
        <w:t xml:space="preserve"> </w:t>
      </w:r>
      <w:r>
        <w:t xml:space="preserve">or the relevant included section. For</w:t>
      </w:r>
      <w:r>
        <w:t xml:space="preserve"> </w:t>
      </w:r>
      <w:r>
        <w:t xml:space="preserve">literature, edit</w:t>
      </w:r>
      <w:r>
        <w:t xml:space="preserve"> </w:t>
      </w:r>
      <w:r>
        <w:rPr>
          <w:rStyle w:val="VerbatimChar"/>
        </w:rPr>
        <w:t xml:space="preserve">report/refs.bib</w:t>
      </w:r>
      <w:r>
        <w:t xml:space="preserve">. Keep figure and table labels stable. After a</w:t>
      </w:r>
      <w:r>
        <w:t xml:space="preserve"> </w:t>
      </w:r>
      <w:r>
        <w:t xml:space="preserve">Word review, transfer agreed edits back into the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source and rebuild.</w:t>
      </w:r>
    </w:p>
    <w:p>
      <w:pPr>
        <w:pStyle w:val="BodyText"/>
      </w:pPr>
      <w:r>
        <w:t xml:space="preserve">For a new assessment, complete and review the model run first. The optional R</w:t>
      </w:r>
      <w:r>
        <w:t xml:space="preserve"> </w:t>
      </w:r>
      <w:r>
        <w:t xml:space="preserve">helper copies this release’s explicit set of 24 assessment files into a</w:t>
      </w:r>
      <w:r>
        <w:t xml:space="preserve"> </w:t>
      </w:r>
      <w:r>
        <w:rPr>
          <w:b/>
          <w:bCs/>
        </w:rPr>
        <w:t xml:space="preserve">new</w:t>
      </w:r>
      <w:r>
        <w:t xml:space="preserve"> </w:t>
      </w:r>
      <w:r>
        <w:t xml:space="preserve">folder and checks that the fits and saved objects can be read:</w:t>
      </w:r>
    </w:p>
    <w:p>
      <w:pPr>
        <w:pStyle w:val="SourceCode"/>
      </w:pPr>
      <w:r>
        <w:rPr>
          <w:rStyle w:val="ExtensionTok"/>
        </w:rPr>
        <w:t xml:space="preserve">Rscript</w:t>
      </w:r>
      <w:r>
        <w:rPr>
          <w:rStyle w:val="NormalTok"/>
        </w:rPr>
        <w:t xml:space="preserve"> R/snapshot_assessment.R /path/to/jjm /path/to/new-snapshot</w:t>
      </w:r>
    </w:p>
    <w:p>
      <w:pPr>
        <w:pStyle w:val="FirstParagraph"/>
      </w:pPr>
      <w:r>
        <w:t xml:space="preserve">Review that candidate before replacing</w:t>
      </w:r>
      <w:r>
        <w:t xml:space="preserve"> </w:t>
      </w:r>
      <w:r>
        <w:rPr>
          <w:rStyle w:val="VerbatimChar"/>
        </w:rPr>
        <w:t xml:space="preserve">data/assessment/</w:t>
      </w:r>
      <w:r>
        <w:t xml:space="preserve">. A new model or year</w:t>
      </w:r>
      <w:r>
        <w:t xml:space="preserve"> </w:t>
      </w:r>
      <w:r>
        <w:t xml:space="preserve">requires reviewing the helper’s selection, year/model settings, recruitment</w:t>
      </w:r>
      <w:r>
        <w:t xml:space="preserve"> </w:t>
      </w:r>
      <w:r>
        <w:t xml:space="preserve">periods, retrospective years, reference values and projection horizons. Update</w:t>
      </w:r>
      <w:r>
        <w:t xml:space="preserve"> </w:t>
      </w:r>
      <w:r>
        <w:t xml:space="preserve">the ten-year run products and their uncertainty calculation separately. Record</w:t>
      </w:r>
      <w:r>
        <w:t xml:space="preserve"> </w:t>
      </w:r>
      <w:r>
        <w:t xml:space="preserve">the source revision and changes, then update</w:t>
      </w:r>
      <w:r>
        <w:t xml:space="preserve"> </w:t>
      </w:r>
      <w:r>
        <w:rPr>
          <w:rStyle w:val="VerbatimChar"/>
        </w:rPr>
        <w:t xml:space="preserve">data/input-checksums.csv</w:t>
      </w:r>
      <w:r>
        <w:t xml:space="preserve"> </w:t>
      </w:r>
      <w:r>
        <w:t xml:space="preserve">only for</w:t>
      </w:r>
      <w:r>
        <w:t xml:space="preserve"> </w:t>
      </w:r>
      <w:r>
        <w:t xml:space="preserve">the reviewed inputs. The inventory is deliberately checked rather than rewritten</w:t>
      </w:r>
      <w:r>
        <w:t xml:space="preserve"> </w:t>
      </w:r>
      <w:r>
        <w:t xml:space="preserve">by a routine build.</w:t>
      </w:r>
    </w:p>
    <w:bookmarkEnd w:id="13"/>
    <w:bookmarkStart w:id="14" w:name="check-and-hand-over"/>
    <w:p>
      <w:pPr>
        <w:pStyle w:val="Heading1"/>
      </w:pPr>
      <w:r>
        <w:t xml:space="preserve">4. Check and hand over</w:t>
      </w:r>
    </w:p>
    <w:p>
      <w:pPr>
        <w:pStyle w:val="FirstParagraph"/>
      </w:pPr>
      <w:r>
        <w:t xml:space="preserve">Run</w:t>
      </w:r>
      <w:r>
        <w:t xml:space="preserve"> </w:t>
      </w:r>
      <w:r>
        <w:rPr>
          <w:rStyle w:val="VerbatimChar"/>
        </w:rPr>
        <w:t xml:space="preserve">Rscript build.R check</w:t>
      </w:r>
      <w:r>
        <w:t xml:space="preserve">, rebuild the required formats, and inspect status,</w:t>
      </w:r>
      <w:r>
        <w:t xml:space="preserve"> </w:t>
      </w:r>
      <w:r>
        <w:t xml:space="preserve">reference and risk tables, figure captions and links. Build logs are in</w:t>
      </w:r>
      <w:r>
        <w:t xml:space="preserve"> </w:t>
      </w:r>
      <w:r>
        <w:rPr>
          <w:rStyle w:val="VerbatimChar"/>
        </w:rPr>
        <w:t xml:space="preserve">validation/logs/</w:t>
      </w:r>
      <w:r>
        <w:t xml:space="preserve">.</w:t>
      </w:r>
      <w:r>
        <w:t xml:space="preserve"> </w:t>
      </w:r>
      <w:r>
        <w:rPr>
          <w:rStyle w:val="VerbatimChar"/>
        </w:rPr>
        <w:t xml:space="preserve">validation/build.csv</w:t>
      </w:r>
      <w:r>
        <w:t xml:space="preserve"> </w:t>
      </w:r>
      <w:r>
        <w:t xml:space="preserve">records each product’s date and hash;</w:t>
      </w:r>
      <w:r>
        <w:t xml:space="preserve"> </w:t>
      </w:r>
      <w:r>
        <w:rPr>
          <w:rStyle w:val="VerbatimChar"/>
        </w:rPr>
        <w:t xml:space="preserve">validation/R-session.txt</w:t>
      </w:r>
      <w:r>
        <w:t xml:space="preserve"> </w:t>
      </w:r>
      <w:r>
        <w:t xml:space="preserve">records the build environment. The migration check</w:t>
      </w:r>
      <w:r>
        <w:t xml:space="preserve"> </w:t>
      </w:r>
      <w:r>
        <w:t xml:space="preserve">records what was compared with the previous package. Rendering and automated</w:t>
      </w:r>
      <w:r>
        <w:t xml:space="preserve"> </w:t>
      </w:r>
      <w:r>
        <w:t xml:space="preserve">checks provide only part of accessibility validation; reading order and assistive</w:t>
      </w:r>
      <w:r>
        <w:t xml:space="preserve"> </w:t>
      </w:r>
      <w:r>
        <w:t xml:space="preserve">technology still require review.</w:t>
      </w:r>
    </w:p>
    <w:p>
      <w:pPr>
        <w:pStyle w:val="BodyText"/>
      </w:pPr>
      <w:r>
        <w:t xml:space="preserve">Keep the whole</w:t>
      </w:r>
      <w:r>
        <w:t xml:space="preserve"> </w:t>
      </w:r>
      <w:r>
        <w:rPr>
          <w:rStyle w:val="VerbatimChar"/>
        </w:rPr>
        <w:t xml:space="preserve">technical-annex-v2/</w:t>
      </w:r>
      <w:r>
        <w:t xml:space="preserve"> </w:t>
      </w:r>
      <w:r>
        <w:t xml:space="preserve">folder together. Its data links are relative,</w:t>
      </w:r>
      <w:r>
        <w:t xml:space="preserve"> </w:t>
      </w:r>
      <w:r>
        <w:t xml:space="preserve">and the build needs no other local checkout. Historical sources and concise</w:t>
      </w:r>
      <w:r>
        <w:t xml:space="preserve"> </w:t>
      </w:r>
      <w:r>
        <w:t xml:space="preserve">reviews are isolated in</w:t>
      </w:r>
      <w:r>
        <w:t xml:space="preserve"> </w:t>
      </w:r>
      <w:r>
        <w:rPr>
          <w:rStyle w:val="VerbatimChar"/>
        </w:rPr>
        <w:t xml:space="preserve">archive/september-12-history.zip</w:t>
      </w:r>
      <w:r>
        <w:t xml:space="preserve">. The parent repository’s</w:t>
      </w:r>
      <w:r>
        <w:t xml:space="preserve"> </w:t>
      </w:r>
      <w:r>
        <w:t xml:space="preserve">wiki has a separate build; it is independent of the annex’s R workflow. Commit</w:t>
      </w:r>
      <w:r>
        <w:t xml:space="preserve"> </w:t>
      </w:r>
      <w:r>
        <w:t xml:space="preserve">reviewed source and generated reports together when ready, and treat publication</w:t>
      </w:r>
      <w:r>
        <w:t xml:space="preserve"> </w:t>
      </w:r>
      <w:r>
        <w:t xml:space="preserve">as a separate step.</w:t>
      </w:r>
    </w:p>
    <w:bookmarkEnd w:id="14"/>
    <w:sectPr>
      <w:footnotePr>
        <w:numRestart w:val="eachSect"/>
      </w:footnotePr>
      <w:pgSz w:h="16838" w:w="11906"/>
      <w:pgMar w:bottom="1020" w:left="1020" w:right="1020" w:top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/>
    </w:pPr>
    <w:rPr>
      <w:rFonts w:ascii="Times New Roman" w:hAnsi="Times New Roman"/>
      <w:sz w:val="21"/>
    </w:rPr>
  </w:style>
  <w:style w:styleId="BodyText" w:type="paragraph">
    <w:name w:val="Body Text"/>
    <w:basedOn w:val="Normal"/>
    <w:link w:val="BodyTextChar"/>
    <w:qFormat/>
    <w:pPr>
      <w:spacing w:after="120" w:before="180"/>
    </w:pPr>
    <w:rPr>
      <w:rFonts w:ascii="Times New Roman" w:hAnsi="Times New Roman"/>
      <w:sz w:val="21"/>
    </w:rPr>
  </w:style>
  <w:style w:customStyle="1" w:styleId="FirstParagraph" w:type="paragraph">
    <w:name w:val="First Paragraph"/>
    <w:basedOn w:val="BodyText"/>
    <w:next w:val="BodyText"/>
    <w:qFormat/>
    <w:pPr>
      <w:spacing w:after="120"/>
    </w:pPr>
    <w:rPr>
      <w:rFonts w:ascii="Times New Roman" w:hAnsi="Times New Roman"/>
      <w:sz w:val="21"/>
    </w:rPr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" w:asciiTheme="majorHAnsi" w:cstheme="majorBidi" w:eastAsiaTheme="majorEastAsia" w:hAnsi="Arial" w:hAnsiTheme="majorHAnsi"/>
      <w:color w:val="000000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" w:cstheme="majorBidi" w:eastAsiaTheme="majorEastAsia" w:hAnsi="Arial"/>
      <w:color w:val="000000"/>
      <w:spacing w:val="15"/>
      <w:sz w:val="26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" w:asciiTheme="majorHAnsi" w:cstheme="majorBidi" w:eastAsiaTheme="majorEastAsia" w:hAnsi="Arial" w:hAnsiTheme="majorHAnsi"/>
      <w:color w:val="000000"/>
      <w:sz w:val="32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" w:asciiTheme="majorHAnsi" w:cstheme="majorBidi" w:eastAsiaTheme="majorEastAsia" w:hAnsi="Arial" w:hAnsiTheme="majorHAnsi"/>
      <w:color w:val="000000"/>
      <w:sz w:val="26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" w:cstheme="majorBidi" w:eastAsiaTheme="majorEastAsia" w:hAnsi="Arial"/>
      <w:color w:val="000000"/>
      <w:sz w:val="22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" w:cstheme="majorBidi" w:eastAsiaTheme="majorEastAsia" w:hAnsi="Arial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" w:cstheme="majorBidi" w:eastAsiaTheme="majorEastAsia" w:hAnsi="Arial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" w:cstheme="majorBidi" w:eastAsiaTheme="majorEastAsia" w:hAnsi="Arial"/>
      <w:i/>
      <w:iCs/>
      <w:color w:val="000000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" w:cstheme="majorBidi" w:eastAsiaTheme="majorEastAsia" w:hAnsi="Arial"/>
      <w:color w:val="000000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" w:cstheme="majorBidi" w:eastAsiaTheme="majorEastAsia" w:hAnsi="Arial"/>
      <w:i/>
      <w:iCs/>
      <w:color w:val="000000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" w:cstheme="majorBidi" w:eastAsiaTheme="majorEastAsia" w:hAnsi="Arial"/>
      <w:color w:val="000000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" w:asciiTheme="majorHAnsi" w:cstheme="majorBidi" w:eastAsiaTheme="majorEastAsia" w:hAnsi="Arial" w:hAnsiTheme="majorHAnsi"/>
      <w:color w:val="000000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" w:asciiTheme="majorHAnsi" w:cstheme="majorBidi" w:eastAsiaTheme="majorEastAsia" w:hAnsi="Arial" w:hAnsiTheme="majorHAnsi"/>
      <w:color w:val="000000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" w:cstheme="majorBidi" w:eastAsiaTheme="majorEastAsia" w:hAnsi="Arial"/>
      <w:color w:val="000000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" w:cstheme="majorBidi" w:eastAsiaTheme="majorEastAsia" w:hAnsi="Arial"/>
      <w:i/>
      <w:iCs/>
      <w:color w:val="000000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" w:cstheme="majorBidi" w:eastAsiaTheme="majorEastAsia" w:hAnsi="Arial"/>
      <w:color w:val="00000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" w:cstheme="majorBidi" w:eastAsiaTheme="majorEastAsia" w:hAnsi="Arial"/>
      <w:i/>
      <w:iCs/>
      <w:color w:val="00000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" w:cstheme="majorBidi" w:eastAsiaTheme="majorEastAsia" w:hAnsi="Arial"/>
      <w:color w:val="00000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" w:cstheme="majorBidi" w:eastAsiaTheme="majorEastAsia" w:hAnsi="Arial"/>
      <w:i/>
      <w:iCs/>
      <w:color w:val="00000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" w:cstheme="majorBidi" w:eastAsiaTheme="majorEastAsia" w:hAnsi="Arial"/>
      <w:color w:val="000000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  <w:shd w:fill="f1f3f5" w:val="clear"/>
    </w:pPr>
  </w:style>
  <w:style w:customStyle="1" w:styleId="KeywordTok" w:type="character">
    <w:name w:val="KeywordTok"/>
    <w:basedOn w:val="VerbatimChar"/>
    <w:rPr>
      <w:b/>
      <w:color w:val="003b4f"/>
      <w:shd w:fill="f1f3f5" w:val="clear"/>
    </w:rPr>
  </w:style>
  <w:style w:customStyle="1" w:styleId="DataTypeTok" w:type="character">
    <w:name w:val="DataTypeTok"/>
    <w:basedOn w:val="VerbatimChar"/>
    <w:rPr>
      <w:color w:val="ad0000"/>
      <w:shd w:fill="f1f3f5" w:val="clear"/>
    </w:rPr>
  </w:style>
  <w:style w:customStyle="1" w:styleId="DecValTok" w:type="character">
    <w:name w:val="DecValTok"/>
    <w:basedOn w:val="VerbatimChar"/>
    <w:rPr>
      <w:color w:val="ad0000"/>
      <w:shd w:fill="f1f3f5" w:val="clear"/>
    </w:rPr>
  </w:style>
  <w:style w:customStyle="1" w:styleId="BaseNTok" w:type="character">
    <w:name w:val="BaseNTok"/>
    <w:basedOn w:val="VerbatimChar"/>
    <w:rPr>
      <w:color w:val="ad0000"/>
      <w:shd w:fill="f1f3f5" w:val="clear"/>
    </w:rPr>
  </w:style>
  <w:style w:customStyle="1" w:styleId="FloatTok" w:type="character">
    <w:name w:val="FloatTok"/>
    <w:basedOn w:val="VerbatimChar"/>
    <w:rPr>
      <w:color w:val="ad0000"/>
      <w:shd w:fill="f1f3f5" w:val="clear"/>
    </w:rPr>
  </w:style>
  <w:style w:customStyle="1" w:styleId="ConstantTok" w:type="character">
    <w:name w:val="ConstantTok"/>
    <w:basedOn w:val="VerbatimChar"/>
    <w:rPr>
      <w:color w:val="8f5902"/>
      <w:shd w:fill="f1f3f5" w:val="clear"/>
    </w:rPr>
  </w:style>
  <w:style w:customStyle="1" w:styleId="CharTok" w:type="character">
    <w:name w:val="CharTok"/>
    <w:basedOn w:val="VerbatimChar"/>
    <w:rPr>
      <w:color w:val="20794d"/>
      <w:shd w:fill="f1f3f5" w:val="clear"/>
    </w:rPr>
  </w:style>
  <w:style w:customStyle="1" w:styleId="SpecialCharTok" w:type="character">
    <w:name w:val="SpecialCharTok"/>
    <w:basedOn w:val="VerbatimChar"/>
    <w:rPr>
      <w:color w:val="5e5e5e"/>
      <w:shd w:fill="f1f3f5" w:val="clear"/>
    </w:rPr>
  </w:style>
  <w:style w:customStyle="1" w:styleId="StringTok" w:type="character">
    <w:name w:val="StringTok"/>
    <w:basedOn w:val="VerbatimChar"/>
    <w:rPr>
      <w:color w:val="20794d"/>
      <w:shd w:fill="f1f3f5" w:val="clear"/>
    </w:rPr>
  </w:style>
  <w:style w:customStyle="1" w:styleId="VerbatimStringTok" w:type="character">
    <w:name w:val="VerbatimStringTok"/>
    <w:basedOn w:val="VerbatimChar"/>
    <w:rPr>
      <w:color w:val="20794d"/>
      <w:shd w:fill="f1f3f5" w:val="clear"/>
    </w:rPr>
  </w:style>
  <w:style w:customStyle="1" w:styleId="SpecialStringTok" w:type="character">
    <w:name w:val="SpecialStringTok"/>
    <w:basedOn w:val="VerbatimChar"/>
    <w:rPr>
      <w:color w:val="20794d"/>
      <w:shd w:fill="f1f3f5" w:val="clear"/>
    </w:rPr>
  </w:style>
  <w:style w:customStyle="1" w:styleId="ImportTok" w:type="character">
    <w:name w:val="ImportTok"/>
    <w:basedOn w:val="VerbatimChar"/>
    <w:rPr>
      <w:color w:val="00769e"/>
      <w:shd w:fill="f1f3f5" w:val="clear"/>
    </w:rPr>
  </w:style>
  <w:style w:customStyle="1" w:styleId="CommentTok" w:type="character">
    <w:name w:val="CommentTok"/>
    <w:basedOn w:val="VerbatimChar"/>
    <w:rPr>
      <w:color w:val="5e5e5e"/>
      <w:shd w:fill="f1f3f5" w:val="clear"/>
    </w:rPr>
  </w:style>
  <w:style w:customStyle="1" w:styleId="DocumentationTok" w:type="character">
    <w:name w:val="DocumentationTok"/>
    <w:basedOn w:val="VerbatimChar"/>
    <w:rPr>
      <w:i/>
      <w:color w:val="5e5e5e"/>
      <w:shd w:fill="f1f3f5" w:val="clear"/>
    </w:rPr>
  </w:style>
  <w:style w:customStyle="1" w:styleId="AnnotationTok" w:type="character">
    <w:name w:val="AnnotationTok"/>
    <w:basedOn w:val="VerbatimChar"/>
    <w:rPr>
      <w:color w:val="5e5e5e"/>
      <w:shd w:fill="f1f3f5" w:val="clear"/>
    </w:rPr>
  </w:style>
  <w:style w:customStyle="1" w:styleId="CommentVarTok" w:type="character">
    <w:name w:val="CommentVarTok"/>
    <w:basedOn w:val="VerbatimChar"/>
    <w:rPr>
      <w:i/>
      <w:color w:val="5e5e5e"/>
      <w:shd w:fill="f1f3f5" w:val="clear"/>
    </w:rPr>
  </w:style>
  <w:style w:customStyle="1" w:styleId="OtherTok" w:type="character">
    <w:name w:val="OtherTok"/>
    <w:basedOn w:val="VerbatimChar"/>
    <w:rPr>
      <w:color w:val="003b4f"/>
      <w:shd w:fill="f1f3f5" w:val="clear"/>
    </w:rPr>
  </w:style>
  <w:style w:customStyle="1" w:styleId="FunctionTok" w:type="character">
    <w:name w:val="FunctionTok"/>
    <w:basedOn w:val="VerbatimChar"/>
    <w:rPr>
      <w:color w:val="4758ab"/>
      <w:shd w:fill="f1f3f5" w:val="clear"/>
    </w:rPr>
  </w:style>
  <w:style w:customStyle="1" w:styleId="VariableTok" w:type="character">
    <w:name w:val="VariableTok"/>
    <w:basedOn w:val="VerbatimChar"/>
    <w:rPr>
      <w:color w:val="111111"/>
      <w:shd w:fill="f1f3f5" w:val="clear"/>
    </w:rPr>
  </w:style>
  <w:style w:customStyle="1" w:styleId="ControlFlowTok" w:type="character">
    <w:name w:val="ControlFlowTok"/>
    <w:basedOn w:val="VerbatimChar"/>
    <w:rPr>
      <w:b/>
      <w:color w:val="003b4f"/>
      <w:shd w:fill="f1f3f5" w:val="clear"/>
    </w:rPr>
  </w:style>
  <w:style w:customStyle="1" w:styleId="OperatorTok" w:type="character">
    <w:name w:val="OperatorTok"/>
    <w:basedOn w:val="VerbatimChar"/>
    <w:rPr>
      <w:color w:val="5e5e5e"/>
      <w:shd w:fill="f1f3f5" w:val="clear"/>
    </w:rPr>
  </w:style>
  <w:style w:customStyle="1" w:styleId="BuiltInTok" w:type="character">
    <w:name w:val="BuiltInTok"/>
    <w:basedOn w:val="VerbatimChar"/>
    <w:rPr>
      <w:color w:val="003b4f"/>
      <w:shd w:fill="f1f3f5" w:val="clear"/>
    </w:rPr>
  </w:style>
  <w:style w:customStyle="1" w:styleId="ExtensionTok" w:type="character">
    <w:name w:val="ExtensionTok"/>
    <w:basedOn w:val="VerbatimChar"/>
    <w:rPr>
      <w:color w:val="003b4f"/>
      <w:shd w:fill="f1f3f5" w:val="clear"/>
    </w:rPr>
  </w:style>
  <w:style w:customStyle="1" w:styleId="PreprocessorTok" w:type="character">
    <w:name w:val="PreprocessorTok"/>
    <w:basedOn w:val="VerbatimChar"/>
    <w:rPr>
      <w:color w:val="ad0000"/>
      <w:shd w:fill="f1f3f5" w:val="clear"/>
    </w:rPr>
  </w:style>
  <w:style w:customStyle="1" w:styleId="AttributeTok" w:type="character">
    <w:name w:val="AttributeTok"/>
    <w:basedOn w:val="VerbatimChar"/>
    <w:rPr>
      <w:color w:val="657422"/>
      <w:shd w:fill="f1f3f5" w:val="clear"/>
    </w:rPr>
  </w:style>
  <w:style w:customStyle="1" w:styleId="RegionMarkerTok" w:type="character">
    <w:name w:val="RegionMarkerTok"/>
    <w:basedOn w:val="VerbatimChar"/>
    <w:rPr>
      <w:color w:val="003b4f"/>
      <w:shd w:fill="f1f3f5" w:val="clear"/>
    </w:rPr>
  </w:style>
  <w:style w:customStyle="1" w:styleId="InformationTok" w:type="character">
    <w:name w:val="InformationTok"/>
    <w:basedOn w:val="VerbatimChar"/>
    <w:rPr>
      <w:color w:val="5e5e5e"/>
      <w:shd w:fill="f1f3f5" w:val="clear"/>
    </w:rPr>
  </w:style>
  <w:style w:customStyle="1" w:styleId="WarningTok" w:type="character">
    <w:name w:val="WarningTok"/>
    <w:basedOn w:val="VerbatimChar"/>
    <w:rPr>
      <w:i/>
      <w:color w:val="5e5e5e"/>
      <w:shd w:fill="f1f3f5" w:val="clear"/>
    </w:rPr>
  </w:style>
  <w:style w:customStyle="1" w:styleId="AlertTok" w:type="character">
    <w:name w:val="AlertTok"/>
    <w:basedOn w:val="VerbatimChar"/>
    <w:rPr>
      <w:color w:val="ad0000"/>
      <w:shd w:fill="f1f3f5" w:val="clear"/>
    </w:rPr>
  </w:style>
  <w:style w:customStyle="1" w:styleId="ErrorTok" w:type="character">
    <w:name w:val="ErrorTok"/>
    <w:basedOn w:val="VerbatimChar"/>
    <w:rPr>
      <w:color w:val="ad0000"/>
      <w:shd w:fill="f1f3f5" w:val="clear"/>
    </w:rPr>
  </w:style>
  <w:style w:customStyle="1" w:styleId="NormalTok" w:type="character">
    <w:name w:val="NormalTok"/>
    <w:basedOn w:val="VerbatimChar"/>
    <w:rPr>
      <w:color w:val="003b4f"/>
      <w:shd w:fill="f1f3f5" w:val="clear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Maintaining the Jack Mackerel Technical Annex</dc:title>
  <dc:creator>Jack Mackerel Working Group</dc:creator>
  <dc:language>en</dc:language>
  <cp:keywords/>
  <dcterms:created xsi:type="dcterms:W3CDTF">2026-09-16T05:25:09Z</dcterms:created>
  <dcterms:modified xsi:type="dcterms:W3CDTF">2026-09-16T05:25:09Z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date">
    <vt:lpwstr>2026-09-15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A handover for the next assessment scientist</vt:lpwstr>
  </property>
  <property fmtid="{D5CDD505-2E9C-101B-9397-08002B2CF9AE}" pid="11" name="toc-title">
    <vt:lpwstr>Table of contents</vt:lpwstr>
  </property>
</Properties>
</file>